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eastAsiaTheme="minorHAnsi"/>
          <w:color w:val="4472C4" w:themeColor="accent1"/>
          <w:lang w:eastAsia="en-US"/>
        </w:rPr>
        <w:id w:val="-269094696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3B289EFD" w14:textId="762CD8B7" w:rsidR="0029003A" w:rsidRDefault="0029003A">
          <w:pPr>
            <w:pStyle w:val="Bezmezer"/>
            <w:spacing w:before="1540" w:after="240"/>
            <w:jc w:val="center"/>
            <w:rPr>
              <w:color w:val="4472C4" w:themeColor="accent1"/>
            </w:rPr>
          </w:pP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Název"/>
            <w:tag w:val=""/>
            <w:id w:val="1735040861"/>
            <w:placeholder>
              <w:docPart w:val="0F31EF5042FE4F4EA3EE82B42041149E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2068258E" w14:textId="01384F3A" w:rsidR="0029003A" w:rsidRDefault="006E34DD">
              <w:pPr>
                <w:pStyle w:val="Bezmezer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technick</w:t>
              </w:r>
              <w:r w:rsidR="00C11FE2"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ý popis</w:t>
              </w:r>
            </w:p>
          </w:sdtContent>
        </w:sdt>
        <w:sdt>
          <w:sdtPr>
            <w:rPr>
              <w:color w:val="4472C4" w:themeColor="accent1"/>
              <w:sz w:val="28"/>
              <w:szCs w:val="28"/>
            </w:rPr>
            <w:alias w:val="Podtitul"/>
            <w:tag w:val=""/>
            <w:id w:val="328029620"/>
            <w:placeholder>
              <w:docPart w:val="231873010E80440FB6BB248AA7387A3A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567583AA" w14:textId="7C03556D" w:rsidR="0029003A" w:rsidRDefault="000D435C">
              <w:pPr>
                <w:pStyle w:val="Bezmezer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color w:val="4472C4" w:themeColor="accent1"/>
                  <w:sz w:val="28"/>
                  <w:szCs w:val="28"/>
                </w:rPr>
                <w:t>Typová projektová dokumentace rozvaděče VN</w:t>
              </w:r>
            </w:p>
          </w:sdtContent>
        </w:sdt>
        <w:p w14:paraId="7548EABE" w14:textId="3182DC24" w:rsidR="0029003A" w:rsidRDefault="0029003A">
          <w:pPr>
            <w:pStyle w:val="Bezmezer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694F8FF" wp14:editId="3C211359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xtové pole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Datum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1-04-07T00:00:00Z">
                                    <w:dateFormat w:val="d. MMMM yyyy"/>
                                    <w:lid w:val="cs-CZ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1F4690A9" w14:textId="00F08719" w:rsidR="0029003A" w:rsidRDefault="00756338">
                                    <w:pPr>
                                      <w:pStyle w:val="Bezmezer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7. dubna 2021</w:t>
                                    </w:r>
                                  </w:p>
                                </w:sdtContent>
                              </w:sdt>
                              <w:p w14:paraId="71286614" w14:textId="084E7F34" w:rsidR="0029003A" w:rsidRDefault="0052363A">
                                <w:pPr>
                                  <w:pStyle w:val="Bezmezer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Společnost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345BEF">
                                      <w:rPr>
                                        <w:caps/>
                                        <w:color w:val="4472C4" w:themeColor="accent1"/>
                                      </w:rPr>
                                      <w:t>Puttner, s.r.o.</w:t>
                                    </w:r>
                                  </w:sdtContent>
                                </w:sdt>
                              </w:p>
                              <w:p w14:paraId="35E1006E" w14:textId="0A477629" w:rsidR="0029003A" w:rsidRDefault="0052363A">
                                <w:pPr>
                                  <w:pStyle w:val="Bezmezer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</w:rPr>
                                    <w:alias w:val="Adresa"/>
                                    <w:tag w:val=""/>
                                    <w:id w:val="-726379553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6C382D">
                                      <w:rPr>
                                        <w:color w:val="4472C4" w:themeColor="accent1"/>
                                      </w:rPr>
                                      <w:t xml:space="preserve">Šumavská 416/15, </w:t>
                                    </w:r>
                                    <w:r w:rsidR="004746A0">
                                      <w:rPr>
                                        <w:color w:val="4472C4" w:themeColor="accent1"/>
                                      </w:rPr>
                                      <w:t>602 00 Brno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694F8F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Datum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1-04-07T00:00:00Z">
                              <w:dateFormat w:val="d. 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1F4690A9" w14:textId="00F08719" w:rsidR="0029003A" w:rsidRDefault="00756338">
                              <w:pPr>
                                <w:pStyle w:val="Bezmezer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7. dubna 2021</w:t>
                              </w:r>
                            </w:p>
                          </w:sdtContent>
                        </w:sdt>
                        <w:p w14:paraId="71286614" w14:textId="084E7F34" w:rsidR="0029003A" w:rsidRDefault="0052363A">
                          <w:pPr>
                            <w:pStyle w:val="Bezmezer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Společnost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345BEF">
                                <w:rPr>
                                  <w:caps/>
                                  <w:color w:val="4472C4" w:themeColor="accent1"/>
                                </w:rPr>
                                <w:t>Puttner, s.r.o.</w:t>
                              </w:r>
                            </w:sdtContent>
                          </w:sdt>
                        </w:p>
                        <w:p w14:paraId="35E1006E" w14:textId="0A477629" w:rsidR="0029003A" w:rsidRDefault="0052363A">
                          <w:pPr>
                            <w:pStyle w:val="Bezmezer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</w:rPr>
                              <w:alias w:val="Adresa"/>
                              <w:tag w:val=""/>
                              <w:id w:val="-726379553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6C382D">
                                <w:rPr>
                                  <w:color w:val="4472C4" w:themeColor="accent1"/>
                                </w:rPr>
                                <w:t xml:space="preserve">Šumavská 416/15, </w:t>
                              </w:r>
                              <w:r w:rsidR="004746A0">
                                <w:rPr>
                                  <w:color w:val="4472C4" w:themeColor="accent1"/>
                                </w:rPr>
                                <w:t>602 00 Brno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47E7FCE0" w14:textId="6B5DFAAC" w:rsidR="0029003A" w:rsidRDefault="0029003A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22867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4E0DF6" w14:textId="07A5BF48" w:rsidR="004746A0" w:rsidRDefault="004746A0">
          <w:pPr>
            <w:pStyle w:val="Nadpisobsahu"/>
          </w:pPr>
          <w:r>
            <w:t>Obsah</w:t>
          </w:r>
        </w:p>
        <w:p w14:paraId="684CB6AF" w14:textId="52D22732" w:rsidR="00AA1014" w:rsidRDefault="004746A0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4282376" w:history="1">
            <w:r w:rsidR="00AA1014" w:rsidRPr="00C6202F">
              <w:rPr>
                <w:rStyle w:val="Hypertextovodkaz"/>
                <w:noProof/>
              </w:rPr>
              <w:t>Identifikační údaje</w:t>
            </w:r>
            <w:r w:rsidR="00AA1014">
              <w:rPr>
                <w:noProof/>
                <w:webHidden/>
              </w:rPr>
              <w:tab/>
            </w:r>
            <w:r w:rsidR="00AA1014">
              <w:rPr>
                <w:noProof/>
                <w:webHidden/>
              </w:rPr>
              <w:fldChar w:fldCharType="begin"/>
            </w:r>
            <w:r w:rsidR="00AA1014">
              <w:rPr>
                <w:noProof/>
                <w:webHidden/>
              </w:rPr>
              <w:instrText xml:space="preserve"> PAGEREF _Toc34282376 \h </w:instrText>
            </w:r>
            <w:r w:rsidR="00AA1014">
              <w:rPr>
                <w:noProof/>
                <w:webHidden/>
              </w:rPr>
            </w:r>
            <w:r w:rsidR="00AA1014">
              <w:rPr>
                <w:noProof/>
                <w:webHidden/>
              </w:rPr>
              <w:fldChar w:fldCharType="separate"/>
            </w:r>
            <w:r w:rsidR="00AA1014">
              <w:rPr>
                <w:noProof/>
                <w:webHidden/>
              </w:rPr>
              <w:t>3</w:t>
            </w:r>
            <w:r w:rsidR="00AA1014">
              <w:rPr>
                <w:noProof/>
                <w:webHidden/>
              </w:rPr>
              <w:fldChar w:fldCharType="end"/>
            </w:r>
          </w:hyperlink>
        </w:p>
        <w:p w14:paraId="62095095" w14:textId="6CCB410E" w:rsidR="00AA1014" w:rsidRDefault="0052363A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4282377" w:history="1">
            <w:r w:rsidR="00AA1014" w:rsidRPr="00C6202F">
              <w:rPr>
                <w:rStyle w:val="Hypertextovodkaz"/>
                <w:noProof/>
              </w:rPr>
              <w:t>Úvodní údaje</w:t>
            </w:r>
            <w:r w:rsidR="00AA1014">
              <w:rPr>
                <w:noProof/>
                <w:webHidden/>
              </w:rPr>
              <w:tab/>
            </w:r>
            <w:r w:rsidR="00AA1014">
              <w:rPr>
                <w:noProof/>
                <w:webHidden/>
              </w:rPr>
              <w:fldChar w:fldCharType="begin"/>
            </w:r>
            <w:r w:rsidR="00AA1014">
              <w:rPr>
                <w:noProof/>
                <w:webHidden/>
              </w:rPr>
              <w:instrText xml:space="preserve"> PAGEREF _Toc34282377 \h </w:instrText>
            </w:r>
            <w:r w:rsidR="00AA1014">
              <w:rPr>
                <w:noProof/>
                <w:webHidden/>
              </w:rPr>
            </w:r>
            <w:r w:rsidR="00AA1014">
              <w:rPr>
                <w:noProof/>
                <w:webHidden/>
              </w:rPr>
              <w:fldChar w:fldCharType="separate"/>
            </w:r>
            <w:r w:rsidR="00AA1014">
              <w:rPr>
                <w:noProof/>
                <w:webHidden/>
              </w:rPr>
              <w:t>3</w:t>
            </w:r>
            <w:r w:rsidR="00AA1014">
              <w:rPr>
                <w:noProof/>
                <w:webHidden/>
              </w:rPr>
              <w:fldChar w:fldCharType="end"/>
            </w:r>
          </w:hyperlink>
        </w:p>
        <w:p w14:paraId="1A654B62" w14:textId="547AD15E" w:rsidR="00AA1014" w:rsidRDefault="0052363A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4282378" w:history="1">
            <w:r w:rsidR="00AA1014" w:rsidRPr="00C6202F">
              <w:rPr>
                <w:rStyle w:val="Hypertextovodkaz"/>
                <w:noProof/>
              </w:rPr>
              <w:t>Technický popis rozvaděče VN včetně nestandartních prvků</w:t>
            </w:r>
            <w:r w:rsidR="00AA1014">
              <w:rPr>
                <w:noProof/>
                <w:webHidden/>
              </w:rPr>
              <w:tab/>
            </w:r>
            <w:r w:rsidR="00AA1014">
              <w:rPr>
                <w:noProof/>
                <w:webHidden/>
              </w:rPr>
              <w:fldChar w:fldCharType="begin"/>
            </w:r>
            <w:r w:rsidR="00AA1014">
              <w:rPr>
                <w:noProof/>
                <w:webHidden/>
              </w:rPr>
              <w:instrText xml:space="preserve"> PAGEREF _Toc34282378 \h </w:instrText>
            </w:r>
            <w:r w:rsidR="00AA1014">
              <w:rPr>
                <w:noProof/>
                <w:webHidden/>
              </w:rPr>
            </w:r>
            <w:r w:rsidR="00AA1014">
              <w:rPr>
                <w:noProof/>
                <w:webHidden/>
              </w:rPr>
              <w:fldChar w:fldCharType="separate"/>
            </w:r>
            <w:r w:rsidR="00AA1014">
              <w:rPr>
                <w:noProof/>
                <w:webHidden/>
              </w:rPr>
              <w:t>4</w:t>
            </w:r>
            <w:r w:rsidR="00AA1014">
              <w:rPr>
                <w:noProof/>
                <w:webHidden/>
              </w:rPr>
              <w:fldChar w:fldCharType="end"/>
            </w:r>
          </w:hyperlink>
        </w:p>
        <w:p w14:paraId="3B09AD9E" w14:textId="3E9FB0DE" w:rsidR="00AA1014" w:rsidRDefault="0052363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4282379" w:history="1">
            <w:r w:rsidR="00AA1014" w:rsidRPr="00C6202F">
              <w:rPr>
                <w:rStyle w:val="Hypertextovodkaz"/>
                <w:noProof/>
              </w:rPr>
              <w:t>Antény LTE</w:t>
            </w:r>
            <w:r w:rsidR="00AA1014">
              <w:rPr>
                <w:noProof/>
                <w:webHidden/>
              </w:rPr>
              <w:tab/>
            </w:r>
            <w:r w:rsidR="00AA1014">
              <w:rPr>
                <w:noProof/>
                <w:webHidden/>
              </w:rPr>
              <w:fldChar w:fldCharType="begin"/>
            </w:r>
            <w:r w:rsidR="00AA1014">
              <w:rPr>
                <w:noProof/>
                <w:webHidden/>
              </w:rPr>
              <w:instrText xml:space="preserve"> PAGEREF _Toc34282379 \h </w:instrText>
            </w:r>
            <w:r w:rsidR="00AA1014">
              <w:rPr>
                <w:noProof/>
                <w:webHidden/>
              </w:rPr>
            </w:r>
            <w:r w:rsidR="00AA1014">
              <w:rPr>
                <w:noProof/>
                <w:webHidden/>
              </w:rPr>
              <w:fldChar w:fldCharType="separate"/>
            </w:r>
            <w:r w:rsidR="00AA1014">
              <w:rPr>
                <w:noProof/>
                <w:webHidden/>
              </w:rPr>
              <w:t>4</w:t>
            </w:r>
            <w:r w:rsidR="00AA1014">
              <w:rPr>
                <w:noProof/>
                <w:webHidden/>
              </w:rPr>
              <w:fldChar w:fldCharType="end"/>
            </w:r>
          </w:hyperlink>
        </w:p>
        <w:p w14:paraId="7D565705" w14:textId="10F97AC8" w:rsidR="00AA1014" w:rsidRDefault="0052363A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4282380" w:history="1">
            <w:r w:rsidR="00AA1014" w:rsidRPr="00C6202F">
              <w:rPr>
                <w:rStyle w:val="Hypertextovodkaz"/>
                <w:noProof/>
              </w:rPr>
              <w:t>Technický popis doplněných zařízení rozvaděče NN</w:t>
            </w:r>
            <w:r w:rsidR="00AA1014">
              <w:rPr>
                <w:noProof/>
                <w:webHidden/>
              </w:rPr>
              <w:tab/>
            </w:r>
            <w:r w:rsidR="00AA1014">
              <w:rPr>
                <w:noProof/>
                <w:webHidden/>
              </w:rPr>
              <w:fldChar w:fldCharType="begin"/>
            </w:r>
            <w:r w:rsidR="00AA1014">
              <w:rPr>
                <w:noProof/>
                <w:webHidden/>
              </w:rPr>
              <w:instrText xml:space="preserve"> PAGEREF _Toc34282380 \h </w:instrText>
            </w:r>
            <w:r w:rsidR="00AA1014">
              <w:rPr>
                <w:noProof/>
                <w:webHidden/>
              </w:rPr>
            </w:r>
            <w:r w:rsidR="00AA1014">
              <w:rPr>
                <w:noProof/>
                <w:webHidden/>
              </w:rPr>
              <w:fldChar w:fldCharType="separate"/>
            </w:r>
            <w:r w:rsidR="00AA1014">
              <w:rPr>
                <w:noProof/>
                <w:webHidden/>
              </w:rPr>
              <w:t>4</w:t>
            </w:r>
            <w:r w:rsidR="00AA1014">
              <w:rPr>
                <w:noProof/>
                <w:webHidden/>
              </w:rPr>
              <w:fldChar w:fldCharType="end"/>
            </w:r>
          </w:hyperlink>
        </w:p>
        <w:p w14:paraId="745545BC" w14:textId="343EA353" w:rsidR="00AA1014" w:rsidRDefault="0052363A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4282381" w:history="1">
            <w:r w:rsidR="00AA1014" w:rsidRPr="00C6202F">
              <w:rPr>
                <w:rStyle w:val="Hypertextovodkaz"/>
                <w:noProof/>
              </w:rPr>
              <w:t>Specifikace použitých kabelů</w:t>
            </w:r>
            <w:r w:rsidR="00AA1014">
              <w:rPr>
                <w:noProof/>
                <w:webHidden/>
              </w:rPr>
              <w:tab/>
            </w:r>
            <w:r w:rsidR="00AA1014">
              <w:rPr>
                <w:noProof/>
                <w:webHidden/>
              </w:rPr>
              <w:fldChar w:fldCharType="begin"/>
            </w:r>
            <w:r w:rsidR="00AA1014">
              <w:rPr>
                <w:noProof/>
                <w:webHidden/>
              </w:rPr>
              <w:instrText xml:space="preserve"> PAGEREF _Toc34282381 \h </w:instrText>
            </w:r>
            <w:r w:rsidR="00AA1014">
              <w:rPr>
                <w:noProof/>
                <w:webHidden/>
              </w:rPr>
            </w:r>
            <w:r w:rsidR="00AA1014">
              <w:rPr>
                <w:noProof/>
                <w:webHidden/>
              </w:rPr>
              <w:fldChar w:fldCharType="separate"/>
            </w:r>
            <w:r w:rsidR="00AA1014">
              <w:rPr>
                <w:noProof/>
                <w:webHidden/>
              </w:rPr>
              <w:t>4</w:t>
            </w:r>
            <w:r w:rsidR="00AA1014">
              <w:rPr>
                <w:noProof/>
                <w:webHidden/>
              </w:rPr>
              <w:fldChar w:fldCharType="end"/>
            </w:r>
          </w:hyperlink>
        </w:p>
        <w:p w14:paraId="0661454C" w14:textId="142AF3DF" w:rsidR="00AA1014" w:rsidRDefault="0052363A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4282382" w:history="1">
            <w:r w:rsidR="00AA1014" w:rsidRPr="00C6202F">
              <w:rPr>
                <w:rStyle w:val="Hypertextovodkaz"/>
                <w:noProof/>
              </w:rPr>
              <w:t>Doporučený seznam náhradních dílů</w:t>
            </w:r>
            <w:r w:rsidR="00AA1014">
              <w:rPr>
                <w:noProof/>
                <w:webHidden/>
              </w:rPr>
              <w:tab/>
            </w:r>
            <w:r w:rsidR="00AA1014">
              <w:rPr>
                <w:noProof/>
                <w:webHidden/>
              </w:rPr>
              <w:fldChar w:fldCharType="begin"/>
            </w:r>
            <w:r w:rsidR="00AA1014">
              <w:rPr>
                <w:noProof/>
                <w:webHidden/>
              </w:rPr>
              <w:instrText xml:space="preserve"> PAGEREF _Toc34282382 \h </w:instrText>
            </w:r>
            <w:r w:rsidR="00AA1014">
              <w:rPr>
                <w:noProof/>
                <w:webHidden/>
              </w:rPr>
            </w:r>
            <w:r w:rsidR="00AA1014">
              <w:rPr>
                <w:noProof/>
                <w:webHidden/>
              </w:rPr>
              <w:fldChar w:fldCharType="separate"/>
            </w:r>
            <w:r w:rsidR="00AA1014">
              <w:rPr>
                <w:noProof/>
                <w:webHidden/>
              </w:rPr>
              <w:t>4</w:t>
            </w:r>
            <w:r w:rsidR="00AA1014">
              <w:rPr>
                <w:noProof/>
                <w:webHidden/>
              </w:rPr>
              <w:fldChar w:fldCharType="end"/>
            </w:r>
          </w:hyperlink>
        </w:p>
        <w:p w14:paraId="5CAC1BCC" w14:textId="1C1DBF45" w:rsidR="00AA1014" w:rsidRDefault="0052363A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4282383" w:history="1">
            <w:r w:rsidR="00AA1014" w:rsidRPr="00C6202F">
              <w:rPr>
                <w:rStyle w:val="Hypertextovodkaz"/>
                <w:noProof/>
              </w:rPr>
              <w:t>Důležitá upozornění</w:t>
            </w:r>
            <w:r w:rsidR="00AA1014">
              <w:rPr>
                <w:noProof/>
                <w:webHidden/>
              </w:rPr>
              <w:tab/>
            </w:r>
            <w:r w:rsidR="00AA1014">
              <w:rPr>
                <w:noProof/>
                <w:webHidden/>
              </w:rPr>
              <w:fldChar w:fldCharType="begin"/>
            </w:r>
            <w:r w:rsidR="00AA1014">
              <w:rPr>
                <w:noProof/>
                <w:webHidden/>
              </w:rPr>
              <w:instrText xml:space="preserve"> PAGEREF _Toc34282383 \h </w:instrText>
            </w:r>
            <w:r w:rsidR="00AA1014">
              <w:rPr>
                <w:noProof/>
                <w:webHidden/>
              </w:rPr>
            </w:r>
            <w:r w:rsidR="00AA1014">
              <w:rPr>
                <w:noProof/>
                <w:webHidden/>
              </w:rPr>
              <w:fldChar w:fldCharType="separate"/>
            </w:r>
            <w:r w:rsidR="00AA1014">
              <w:rPr>
                <w:noProof/>
                <w:webHidden/>
              </w:rPr>
              <w:t>5</w:t>
            </w:r>
            <w:r w:rsidR="00AA1014">
              <w:rPr>
                <w:noProof/>
                <w:webHidden/>
              </w:rPr>
              <w:fldChar w:fldCharType="end"/>
            </w:r>
          </w:hyperlink>
        </w:p>
        <w:p w14:paraId="51B33ADF" w14:textId="54807594" w:rsidR="00AA1014" w:rsidRDefault="0052363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4282384" w:history="1">
            <w:r w:rsidR="00AA1014" w:rsidRPr="00C6202F">
              <w:rPr>
                <w:rStyle w:val="Hypertextovodkaz"/>
                <w:noProof/>
              </w:rPr>
              <w:t>Poznámky pro zhotovitele / projektanty</w:t>
            </w:r>
            <w:r w:rsidR="00AA1014">
              <w:rPr>
                <w:noProof/>
                <w:webHidden/>
              </w:rPr>
              <w:tab/>
            </w:r>
            <w:r w:rsidR="00AA1014">
              <w:rPr>
                <w:noProof/>
                <w:webHidden/>
              </w:rPr>
              <w:fldChar w:fldCharType="begin"/>
            </w:r>
            <w:r w:rsidR="00AA1014">
              <w:rPr>
                <w:noProof/>
                <w:webHidden/>
              </w:rPr>
              <w:instrText xml:space="preserve"> PAGEREF _Toc34282384 \h </w:instrText>
            </w:r>
            <w:r w:rsidR="00AA1014">
              <w:rPr>
                <w:noProof/>
                <w:webHidden/>
              </w:rPr>
            </w:r>
            <w:r w:rsidR="00AA1014">
              <w:rPr>
                <w:noProof/>
                <w:webHidden/>
              </w:rPr>
              <w:fldChar w:fldCharType="separate"/>
            </w:r>
            <w:r w:rsidR="00AA1014">
              <w:rPr>
                <w:noProof/>
                <w:webHidden/>
              </w:rPr>
              <w:t>5</w:t>
            </w:r>
            <w:r w:rsidR="00AA1014">
              <w:rPr>
                <w:noProof/>
                <w:webHidden/>
              </w:rPr>
              <w:fldChar w:fldCharType="end"/>
            </w:r>
          </w:hyperlink>
        </w:p>
        <w:p w14:paraId="63E66E14" w14:textId="3226AD1F" w:rsidR="00AA1014" w:rsidRDefault="0052363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4282385" w:history="1">
            <w:r w:rsidR="00AA1014" w:rsidRPr="00C6202F">
              <w:rPr>
                <w:rStyle w:val="Hypertextovodkaz"/>
                <w:noProof/>
              </w:rPr>
              <w:t>Seznam norem</w:t>
            </w:r>
            <w:r w:rsidR="00AA1014">
              <w:rPr>
                <w:noProof/>
                <w:webHidden/>
              </w:rPr>
              <w:tab/>
            </w:r>
            <w:r w:rsidR="00AA1014">
              <w:rPr>
                <w:noProof/>
                <w:webHidden/>
              </w:rPr>
              <w:fldChar w:fldCharType="begin"/>
            </w:r>
            <w:r w:rsidR="00AA1014">
              <w:rPr>
                <w:noProof/>
                <w:webHidden/>
              </w:rPr>
              <w:instrText xml:space="preserve"> PAGEREF _Toc34282385 \h </w:instrText>
            </w:r>
            <w:r w:rsidR="00AA1014">
              <w:rPr>
                <w:noProof/>
                <w:webHidden/>
              </w:rPr>
            </w:r>
            <w:r w:rsidR="00AA1014">
              <w:rPr>
                <w:noProof/>
                <w:webHidden/>
              </w:rPr>
              <w:fldChar w:fldCharType="separate"/>
            </w:r>
            <w:r w:rsidR="00AA1014">
              <w:rPr>
                <w:noProof/>
                <w:webHidden/>
              </w:rPr>
              <w:t>5</w:t>
            </w:r>
            <w:r w:rsidR="00AA1014">
              <w:rPr>
                <w:noProof/>
                <w:webHidden/>
              </w:rPr>
              <w:fldChar w:fldCharType="end"/>
            </w:r>
          </w:hyperlink>
        </w:p>
        <w:p w14:paraId="697A7A3F" w14:textId="1A19D2C7" w:rsidR="004746A0" w:rsidRDefault="004746A0">
          <w:r>
            <w:rPr>
              <w:b/>
              <w:bCs/>
            </w:rPr>
            <w:fldChar w:fldCharType="end"/>
          </w:r>
        </w:p>
      </w:sdtContent>
    </w:sdt>
    <w:p w14:paraId="0650F9B6" w14:textId="6B886C0B" w:rsidR="004746A0" w:rsidRDefault="004746A0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FFE8933" w14:textId="411CBB79" w:rsidR="002A5252" w:rsidRDefault="004746A0" w:rsidP="0029003A">
      <w:pPr>
        <w:pStyle w:val="Nadpis1"/>
      </w:pPr>
      <w:bookmarkStart w:id="0" w:name="_Toc34282376"/>
      <w:r>
        <w:lastRenderedPageBreak/>
        <w:t>Iden</w:t>
      </w:r>
      <w:r w:rsidR="00FE1811">
        <w:t>tifikač</w:t>
      </w:r>
      <w:r w:rsidR="008A5C05">
        <w:t>ní údaje</w:t>
      </w:r>
      <w:bookmarkEnd w:id="0"/>
    </w:p>
    <w:p w14:paraId="56B1D69C" w14:textId="52CB1EA0" w:rsidR="00D16115" w:rsidRPr="00D16115" w:rsidRDefault="00D16115" w:rsidP="00CB0E7A">
      <w:pPr>
        <w:spacing w:line="240" w:lineRule="auto"/>
      </w:pPr>
      <w:bookmarkStart w:id="1" w:name="_Hlk25053612"/>
      <w:r w:rsidRPr="00D16115">
        <w:t>Název stavby:</w:t>
      </w:r>
      <w:r w:rsidRPr="00D16115">
        <w:tab/>
      </w:r>
      <w:r>
        <w:t>Typová projektová dokumentace rozvaděče VN</w:t>
      </w:r>
    </w:p>
    <w:p w14:paraId="5F258405" w14:textId="5562C6DA" w:rsidR="00D16115" w:rsidRPr="00D16115" w:rsidRDefault="00D16115" w:rsidP="00CB0E7A">
      <w:pPr>
        <w:spacing w:line="240" w:lineRule="auto"/>
      </w:pPr>
      <w:r w:rsidRPr="00D16115">
        <w:t>Stupeň:</w:t>
      </w:r>
      <w:r w:rsidRPr="00D16115">
        <w:tab/>
      </w:r>
      <w:r w:rsidRPr="00D16115">
        <w:tab/>
      </w:r>
      <w:r>
        <w:t>Typo</w:t>
      </w:r>
      <w:r w:rsidR="00397AC8">
        <w:t>vá projektová dokumentace</w:t>
      </w:r>
    </w:p>
    <w:p w14:paraId="46660D7B" w14:textId="77BAA456" w:rsidR="007D74B4" w:rsidRPr="00000859" w:rsidRDefault="00397AC8" w:rsidP="00CB0E7A">
      <w:pPr>
        <w:spacing w:line="240" w:lineRule="auto"/>
      </w:pPr>
      <w:r>
        <w:t>Investor</w:t>
      </w:r>
      <w:r w:rsidR="00D16115" w:rsidRPr="00D16115">
        <w:t>:</w:t>
      </w:r>
      <w:r w:rsidR="007D74B4">
        <w:t xml:space="preserve">             </w:t>
      </w:r>
      <w:r w:rsidR="00335A41">
        <w:t>EG.D</w:t>
      </w:r>
      <w:r w:rsidR="007D74B4">
        <w:t xml:space="preserve">, a.s., </w:t>
      </w:r>
      <w:r w:rsidR="00335A41">
        <w:rPr>
          <w:kern w:val="1"/>
        </w:rPr>
        <w:t>Lidická 1873/36, 602 00 Brno</w:t>
      </w:r>
      <w:r w:rsidR="007D74B4" w:rsidRPr="00000859">
        <w:rPr>
          <w:kern w:val="1"/>
        </w:rPr>
        <w:t>, IČ: 26078400</w:t>
      </w:r>
    </w:p>
    <w:p w14:paraId="55D9D717" w14:textId="6A392F21" w:rsidR="00D16115" w:rsidRPr="00D16115" w:rsidRDefault="00D16115" w:rsidP="00CB0E7A">
      <w:pPr>
        <w:spacing w:line="240" w:lineRule="auto"/>
      </w:pPr>
      <w:r w:rsidRPr="00D16115">
        <w:t>Projektant:</w:t>
      </w:r>
      <w:r w:rsidR="00397AC8">
        <w:tab/>
      </w:r>
      <w:r w:rsidRPr="00D16115">
        <w:t>Puttner, s.r.o., Šumavská 416/15, 602 00 Brno</w:t>
      </w:r>
      <w:r w:rsidR="00335A41">
        <w:t xml:space="preserve">, </w:t>
      </w:r>
      <w:r w:rsidR="00335A41" w:rsidRPr="00335A41">
        <w:t>IČ: 25552953</w:t>
      </w:r>
    </w:p>
    <w:p w14:paraId="272B7001" w14:textId="5505BC09" w:rsidR="008A5C05" w:rsidRDefault="0062018D" w:rsidP="0029003A">
      <w:pPr>
        <w:pStyle w:val="Nadpis1"/>
      </w:pPr>
      <w:bookmarkStart w:id="2" w:name="_Toc34282377"/>
      <w:bookmarkEnd w:id="1"/>
      <w:r>
        <w:t>Ú</w:t>
      </w:r>
      <w:r w:rsidR="008A5C05">
        <w:t>vodní údaje</w:t>
      </w:r>
      <w:bookmarkEnd w:id="2"/>
    </w:p>
    <w:p w14:paraId="4B0FC105" w14:textId="77777777" w:rsidR="009D545B" w:rsidRDefault="009D545B" w:rsidP="009D545B">
      <w:pPr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Projektové podklady</w:t>
      </w:r>
    </w:p>
    <w:p w14:paraId="366CC112" w14:textId="77777777" w:rsidR="009D545B" w:rsidRDefault="009D545B" w:rsidP="009D545B">
      <w:pPr>
        <w:spacing w:line="240" w:lineRule="auto"/>
        <w:ind w:firstLine="426"/>
        <w:jc w:val="both"/>
      </w:pPr>
      <w:r>
        <w:t>- jednání se zadavatelem PD</w:t>
      </w:r>
    </w:p>
    <w:p w14:paraId="0537AABB" w14:textId="77777777" w:rsidR="009D545B" w:rsidRDefault="009D545B" w:rsidP="009D545B">
      <w:pPr>
        <w:spacing w:line="240" w:lineRule="auto"/>
        <w:ind w:firstLine="426"/>
        <w:jc w:val="both"/>
      </w:pPr>
      <w:r>
        <w:t>- platné elektrotechnické předpisy a normy ČSN, PNE</w:t>
      </w:r>
    </w:p>
    <w:p w14:paraId="4EE7F625" w14:textId="77777777" w:rsidR="009D545B" w:rsidRPr="00AB44F0" w:rsidRDefault="009D545B" w:rsidP="009D545B">
      <w:pPr>
        <w:spacing w:line="240" w:lineRule="auto"/>
        <w:rPr>
          <w:b/>
        </w:rPr>
      </w:pPr>
      <w:r w:rsidRPr="00AB44F0">
        <w:rPr>
          <w:b/>
        </w:rPr>
        <w:t>Základní technické parametry:</w:t>
      </w:r>
    </w:p>
    <w:p w14:paraId="33DAC288" w14:textId="15C75E4C" w:rsidR="009D545B" w:rsidRDefault="009D545B" w:rsidP="009D545B">
      <w:pPr>
        <w:spacing w:line="240" w:lineRule="auto"/>
        <w:jc w:val="both"/>
      </w:pPr>
      <w:bookmarkStart w:id="3" w:name="_Hlk32293572"/>
      <w:r w:rsidRPr="00AB44F0">
        <w:t>Rozvodná soustava VN:</w:t>
      </w:r>
      <w:r w:rsidRPr="00AB44F0">
        <w:tab/>
      </w:r>
      <w:smartTag w:uri="urn:schemas-microsoft-com:office:smarttags" w:element="metricconverter">
        <w:smartTagPr>
          <w:attr w:name="ProductID" w:val="3 AC"/>
        </w:smartTagPr>
        <w:r w:rsidRPr="00AB44F0">
          <w:t>3 AC</w:t>
        </w:r>
      </w:smartTag>
      <w:r w:rsidRPr="00AB44F0">
        <w:t xml:space="preserve"> 50Hz, 22kV, IT</w:t>
      </w:r>
      <w:r w:rsidR="00932777">
        <w:t xml:space="preserve"> (v sítích s tlumivkou)</w:t>
      </w:r>
    </w:p>
    <w:p w14:paraId="27262A18" w14:textId="2CCBD0E3" w:rsidR="00932777" w:rsidRDefault="00932777" w:rsidP="009D545B">
      <w:pPr>
        <w:spacing w:line="240" w:lineRule="auto"/>
        <w:jc w:val="both"/>
      </w:pPr>
      <w:r>
        <w:tab/>
      </w:r>
      <w:r>
        <w:tab/>
      </w:r>
      <w:r>
        <w:tab/>
      </w:r>
      <w:smartTag w:uri="urn:schemas-microsoft-com:office:smarttags" w:element="metricconverter">
        <w:smartTagPr>
          <w:attr w:name="ProductID" w:val="3 AC"/>
        </w:smartTagPr>
        <w:r w:rsidRPr="00AB44F0">
          <w:t>3 AC</w:t>
        </w:r>
      </w:smartTag>
      <w:r w:rsidRPr="00AB44F0">
        <w:t xml:space="preserve"> 50Hz, 22kV, IT</w:t>
      </w:r>
      <w:r>
        <w:t>(R) (v sítích s odporem)</w:t>
      </w:r>
    </w:p>
    <w:p w14:paraId="461E4E6A" w14:textId="2F6C9748" w:rsidR="00932777" w:rsidRDefault="00932777" w:rsidP="009D545B">
      <w:pPr>
        <w:spacing w:line="240" w:lineRule="auto"/>
        <w:jc w:val="both"/>
      </w:pPr>
      <w:r w:rsidRPr="00AB44F0">
        <w:t xml:space="preserve">Rozvodná soustava </w:t>
      </w:r>
      <w:r>
        <w:t>N</w:t>
      </w:r>
      <w:r w:rsidRPr="00AB44F0">
        <w:t>N:</w:t>
      </w:r>
      <w:r w:rsidRPr="00AB44F0">
        <w:tab/>
      </w:r>
      <w:r>
        <w:t>1NPE 50Hz, 231V, TN-C-S</w:t>
      </w:r>
    </w:p>
    <w:p w14:paraId="73F47EB1" w14:textId="008B8197" w:rsidR="00932777" w:rsidRPr="00AB44F0" w:rsidRDefault="00932777" w:rsidP="009D545B">
      <w:pPr>
        <w:spacing w:line="240" w:lineRule="auto"/>
        <w:jc w:val="both"/>
      </w:pPr>
      <w:r>
        <w:tab/>
      </w:r>
      <w:r>
        <w:tab/>
      </w:r>
      <w:r>
        <w:tab/>
        <w:t>2 DC, 24V, TT</w:t>
      </w:r>
    </w:p>
    <w:bookmarkEnd w:id="3"/>
    <w:p w14:paraId="6A65B41E" w14:textId="77777777" w:rsidR="009D545B" w:rsidRPr="00AB44F0" w:rsidRDefault="009D545B" w:rsidP="009D545B">
      <w:pPr>
        <w:spacing w:line="240" w:lineRule="auto"/>
        <w:rPr>
          <w:b/>
          <w:u w:val="single"/>
        </w:rPr>
      </w:pPr>
      <w:r w:rsidRPr="00AB44F0">
        <w:rPr>
          <w:b/>
          <w:u w:val="single"/>
        </w:rPr>
        <w:t>Ochrana před nebezpečným dotykem živých částí rozvodných el. zařízení do i nad 1 kV:</w:t>
      </w:r>
    </w:p>
    <w:p w14:paraId="5ABBE57F" w14:textId="49A81FC6" w:rsidR="009D545B" w:rsidRPr="00AB44F0" w:rsidRDefault="009D545B" w:rsidP="009D545B">
      <w:pPr>
        <w:spacing w:line="240" w:lineRule="auto"/>
      </w:pPr>
      <w:r w:rsidRPr="00AB44F0">
        <w:rPr>
          <w:bCs/>
        </w:rPr>
        <w:t xml:space="preserve">Podle </w:t>
      </w:r>
      <w:r w:rsidRPr="00AB44F0">
        <w:t>PNE 33 0000-1</w:t>
      </w:r>
      <w:r w:rsidR="00357B73">
        <w:t xml:space="preserve"> ed.6</w:t>
      </w:r>
      <w:r w:rsidRPr="00AB44F0">
        <w:rPr>
          <w:bCs/>
        </w:rPr>
        <w:t xml:space="preserve"> navazující na ČSN 33 2000-4-41 ed.</w:t>
      </w:r>
      <w:r w:rsidR="00335A41">
        <w:rPr>
          <w:bCs/>
        </w:rPr>
        <w:t>3</w:t>
      </w:r>
      <w:r w:rsidRPr="00AB44F0">
        <w:rPr>
          <w:bCs/>
        </w:rPr>
        <w:t>, ČSN 33 2000-5-54 ed.3, ČSN 33 2000-6:</w:t>
      </w:r>
    </w:p>
    <w:p w14:paraId="756029FA" w14:textId="77777777" w:rsidR="009D545B" w:rsidRPr="00AB44F0" w:rsidRDefault="009D545B" w:rsidP="009D545B">
      <w:pPr>
        <w:spacing w:line="240" w:lineRule="auto"/>
        <w:jc w:val="both"/>
        <w:rPr>
          <w:i/>
        </w:rPr>
      </w:pPr>
      <w:r w:rsidRPr="00AB44F0">
        <w:rPr>
          <w:i/>
        </w:rPr>
        <w:t xml:space="preserve">Ochrana před přímým dotykem v rozvodných elektrických zařízení do 1000V i nad 1000V v distribuční soustavě dodavatele elektřiny: </w:t>
      </w:r>
    </w:p>
    <w:p w14:paraId="05374ACB" w14:textId="7D717AB6" w:rsidR="009D545B" w:rsidRPr="00AB44F0" w:rsidRDefault="009D545B" w:rsidP="009D545B">
      <w:pPr>
        <w:spacing w:line="240" w:lineRule="auto"/>
        <w:ind w:firstLine="426"/>
      </w:pPr>
      <w:r w:rsidRPr="00AB44F0">
        <w:t xml:space="preserve">- polohou, dle PNE 33 0000 – 1 </w:t>
      </w:r>
      <w:r w:rsidR="00B54FF6">
        <w:t>6</w:t>
      </w:r>
      <w:r w:rsidRPr="00AB44F0">
        <w:t>.V, čl. 3.2.2.1</w:t>
      </w:r>
    </w:p>
    <w:p w14:paraId="353D01AC" w14:textId="09E38581" w:rsidR="009D545B" w:rsidRPr="00AB44F0" w:rsidRDefault="009D545B" w:rsidP="009D545B">
      <w:pPr>
        <w:spacing w:line="240" w:lineRule="auto"/>
        <w:ind w:left="426"/>
      </w:pPr>
      <w:r w:rsidRPr="00AB44F0">
        <w:t xml:space="preserve">- zábranou, dle PNE 33 0000–1 ed. </w:t>
      </w:r>
      <w:r w:rsidR="00B54FF6">
        <w:t>6</w:t>
      </w:r>
      <w:r w:rsidRPr="00AB44F0">
        <w:t>, čl. 3.2.2.2</w:t>
      </w:r>
    </w:p>
    <w:p w14:paraId="0075F89B" w14:textId="33154729" w:rsidR="009D545B" w:rsidRPr="00AB44F0" w:rsidRDefault="009D545B" w:rsidP="009D545B">
      <w:pPr>
        <w:spacing w:line="240" w:lineRule="auto"/>
        <w:ind w:left="426"/>
      </w:pPr>
      <w:r w:rsidRPr="00AB44F0">
        <w:t xml:space="preserve">- přepážkami nebo kryty dle PNE 33 0000–1ed. </w:t>
      </w:r>
      <w:r w:rsidR="00B54FF6">
        <w:t>6</w:t>
      </w:r>
      <w:r w:rsidRPr="00AB44F0">
        <w:t>, čl. 3.2.2.3</w:t>
      </w:r>
    </w:p>
    <w:p w14:paraId="48CF12F9" w14:textId="3E2F74C6" w:rsidR="009D545B" w:rsidRPr="00AB44F0" w:rsidRDefault="009D545B" w:rsidP="009D545B">
      <w:pPr>
        <w:spacing w:line="240" w:lineRule="auto"/>
        <w:ind w:firstLine="426"/>
      </w:pPr>
      <w:r w:rsidRPr="00AB44F0">
        <w:t xml:space="preserve">- izolací, dle PNE 33 0000 – 1 </w:t>
      </w:r>
      <w:r w:rsidR="00B54FF6">
        <w:t>6</w:t>
      </w:r>
      <w:r w:rsidRPr="00AB44F0">
        <w:t>.V, čl. 3.2.2.4</w:t>
      </w:r>
    </w:p>
    <w:p w14:paraId="4B17AAEE" w14:textId="77777777" w:rsidR="009D545B" w:rsidRPr="00AB44F0" w:rsidRDefault="009D545B" w:rsidP="009D545B">
      <w:pPr>
        <w:tabs>
          <w:tab w:val="left" w:pos="2835"/>
        </w:tabs>
        <w:spacing w:line="240" w:lineRule="auto"/>
        <w:jc w:val="both"/>
        <w:rPr>
          <w:i/>
        </w:rPr>
      </w:pPr>
      <w:r w:rsidRPr="00AB44F0">
        <w:rPr>
          <w:i/>
        </w:rPr>
        <w:t xml:space="preserve">Ochrana při poruše v rozvodných elektrických zařízení v distribuční soustavě dodavatele elektřiny: </w:t>
      </w:r>
    </w:p>
    <w:p w14:paraId="660554E9" w14:textId="77777777" w:rsidR="009D545B" w:rsidRPr="00AB44F0" w:rsidRDefault="009D545B" w:rsidP="009D545B">
      <w:pPr>
        <w:spacing w:line="240" w:lineRule="auto"/>
        <w:ind w:left="426"/>
      </w:pPr>
      <w:r w:rsidRPr="00AB44F0">
        <w:t xml:space="preserve">Nad 1000 V (VN), ochrana zemněním v sítích, kde není přímo uzemněný střed zdroje (uzel) </w:t>
      </w:r>
    </w:p>
    <w:p w14:paraId="7597506C" w14:textId="2CDB6623" w:rsidR="009D545B" w:rsidRPr="00AB44F0" w:rsidRDefault="009D545B" w:rsidP="009D545B">
      <w:pPr>
        <w:spacing w:line="240" w:lineRule="auto"/>
        <w:ind w:left="426" w:firstLine="282"/>
      </w:pPr>
      <w:r w:rsidRPr="00AB44F0">
        <w:t xml:space="preserve">- ochrana v sítích IT dle PNE 33 0000 - 1 </w:t>
      </w:r>
      <w:r w:rsidR="00B54FF6">
        <w:t>6</w:t>
      </w:r>
      <w:r w:rsidRPr="00AB44F0">
        <w:t>.V, čl. 3.4.3.1</w:t>
      </w:r>
    </w:p>
    <w:p w14:paraId="48F54103" w14:textId="67EADFE7" w:rsidR="009D545B" w:rsidRPr="00AB44F0" w:rsidRDefault="009D545B" w:rsidP="009D545B">
      <w:pPr>
        <w:spacing w:line="240" w:lineRule="auto"/>
        <w:ind w:left="426" w:firstLine="282"/>
      </w:pPr>
      <w:r w:rsidRPr="00AB44F0">
        <w:t>- pospojováním dle PNE 33 0000-1 ed.</w:t>
      </w:r>
      <w:r w:rsidR="00B54FF6">
        <w:t>6</w:t>
      </w:r>
      <w:r w:rsidRPr="00AB44F0">
        <w:t>, čl. 3.4.3.4</w:t>
      </w:r>
    </w:p>
    <w:p w14:paraId="03CBDAA6" w14:textId="6657B38F" w:rsidR="009D545B" w:rsidRPr="00AB44F0" w:rsidRDefault="009D545B" w:rsidP="009D545B">
      <w:pPr>
        <w:spacing w:line="240" w:lineRule="auto"/>
        <w:ind w:left="426" w:firstLine="282"/>
      </w:pPr>
      <w:r w:rsidRPr="00AB44F0">
        <w:t>- izolací, dle PNE 33 0000-1 ed.</w:t>
      </w:r>
      <w:r w:rsidR="00B54FF6">
        <w:t>6</w:t>
      </w:r>
      <w:r w:rsidRPr="00AB44F0">
        <w:t>, čl. 3.4.3.5</w:t>
      </w:r>
    </w:p>
    <w:p w14:paraId="3E8FBB84" w14:textId="6ED22327" w:rsidR="009D545B" w:rsidRPr="00AB44F0" w:rsidRDefault="009D545B" w:rsidP="009D545B">
      <w:pPr>
        <w:spacing w:line="240" w:lineRule="auto"/>
        <w:ind w:left="426" w:firstLine="282"/>
      </w:pPr>
      <w:r w:rsidRPr="00AB44F0">
        <w:t>- zábranou, dle PNE 33 0000-1 ed.</w:t>
      </w:r>
      <w:r w:rsidR="00932777">
        <w:t>6</w:t>
      </w:r>
      <w:r w:rsidRPr="00AB44F0">
        <w:t>, čl. 3.4.3.6</w:t>
      </w:r>
    </w:p>
    <w:p w14:paraId="2B198D0C" w14:textId="38FF7572" w:rsidR="009D545B" w:rsidRPr="00AB44F0" w:rsidRDefault="009D545B" w:rsidP="009D545B">
      <w:pPr>
        <w:spacing w:line="240" w:lineRule="auto"/>
        <w:ind w:left="426" w:firstLine="282"/>
      </w:pPr>
      <w:r w:rsidRPr="00AB44F0">
        <w:t>- ochrana doplňkovou izolací, dle PNE 33 0000-1 ed.</w:t>
      </w:r>
      <w:r w:rsidR="00B54FF6">
        <w:t>6</w:t>
      </w:r>
      <w:r w:rsidRPr="00AB44F0">
        <w:t>, čl. 3.2.2.5</w:t>
      </w:r>
    </w:p>
    <w:p w14:paraId="0E44D3E3" w14:textId="77777777" w:rsidR="009D545B" w:rsidRPr="00AB44F0" w:rsidRDefault="009D545B" w:rsidP="009D545B">
      <w:pPr>
        <w:spacing w:line="240" w:lineRule="auto"/>
        <w:rPr>
          <w:b/>
          <w:u w:val="single"/>
        </w:rPr>
      </w:pPr>
      <w:r w:rsidRPr="00AB44F0">
        <w:rPr>
          <w:b/>
          <w:u w:val="single"/>
        </w:rPr>
        <w:t xml:space="preserve">Vnější vlivy pro vnitřní prostory dle PNE 33 0000-2 navazující na ČSN 33 2000-3 a ČSN 33 2000-5-51 ed.2: </w:t>
      </w:r>
    </w:p>
    <w:p w14:paraId="01816CBB" w14:textId="77777777" w:rsidR="009D545B" w:rsidRPr="00AB44F0" w:rsidRDefault="009D545B" w:rsidP="009D545B">
      <w:pPr>
        <w:spacing w:line="240" w:lineRule="auto"/>
        <w:ind w:firstLine="426"/>
      </w:pPr>
      <w:r w:rsidRPr="00AB44F0">
        <w:t>- Odkaz dle PNE 33 0000-2 (tab. 8): C</w:t>
      </w:r>
    </w:p>
    <w:p w14:paraId="5D34FD6D" w14:textId="77777777" w:rsidR="009D545B" w:rsidRPr="00AB44F0" w:rsidRDefault="009D545B" w:rsidP="009D545B">
      <w:pPr>
        <w:spacing w:line="240" w:lineRule="auto"/>
        <w:ind w:left="567" w:hanging="141"/>
      </w:pPr>
      <w:r w:rsidRPr="00AB44F0">
        <w:lastRenderedPageBreak/>
        <w:t>- Na základě podkladů a posouzení pro příslušné elektrické zařízení je prostor definován dle PNE 33 0000-2 jako: nebezpečný</w:t>
      </w:r>
    </w:p>
    <w:p w14:paraId="54EB20FB" w14:textId="77777777" w:rsidR="009D545B" w:rsidRPr="00AB44F0" w:rsidRDefault="009D545B" w:rsidP="009D545B">
      <w:pPr>
        <w:spacing w:before="60" w:line="240" w:lineRule="auto"/>
      </w:pPr>
      <w:r w:rsidRPr="00AB44F0">
        <w:t xml:space="preserve">Vnější vlivy působící na rozvodná zařízení distribuční soustavy stanovuje PNE 33 0000-2 4V, tab.č. </w:t>
      </w:r>
      <w:smartTag w:uri="urn:schemas-microsoft-com:office:smarttags" w:element="metricconverter">
        <w:smartTagPr>
          <w:attr w:name="ProductID" w:val="5 a"/>
        </w:smartTagPr>
        <w:r w:rsidRPr="00AB44F0">
          <w:t>5 a</w:t>
        </w:r>
      </w:smartTag>
      <w:r w:rsidRPr="00AB44F0">
        <w:t xml:space="preserve"> č.6</w:t>
      </w:r>
    </w:p>
    <w:p w14:paraId="55DD17F7" w14:textId="77777777" w:rsidR="001D3551" w:rsidRDefault="009D545B" w:rsidP="009D545B">
      <w:pPr>
        <w:spacing w:before="60" w:line="240" w:lineRule="auto"/>
      </w:pPr>
      <w:r w:rsidRPr="00AB44F0">
        <w:t xml:space="preserve">Prostory </w:t>
      </w:r>
      <w:r w:rsidRPr="00AB44F0">
        <w:tab/>
      </w:r>
      <w:r w:rsidRPr="00AB44F0">
        <w:tab/>
      </w:r>
      <w:r>
        <w:t>dle protokolu vnějších vlivů</w:t>
      </w:r>
    </w:p>
    <w:p w14:paraId="22E242EB" w14:textId="188232A1" w:rsidR="002A5252" w:rsidRDefault="002A5252" w:rsidP="001D3551">
      <w:pPr>
        <w:pStyle w:val="Nadpis1"/>
      </w:pPr>
      <w:bookmarkStart w:id="4" w:name="_Toc34282378"/>
      <w:r>
        <w:t>Technický popis rozvaděče VN včetně nestandartních prvků</w:t>
      </w:r>
      <w:bookmarkEnd w:id="4"/>
    </w:p>
    <w:p w14:paraId="5D2DFF98" w14:textId="741A9239" w:rsidR="002A5252" w:rsidRDefault="00D3196A">
      <w:r>
        <w:t>Rozvaděč VN je uvažovaný oceloplechový plynem SF6 izolovaný rozvaděč v kompaktním provedení Siemens 8DJH v zapojení RRT (</w:t>
      </w:r>
      <w:r w:rsidR="00335A41">
        <w:t>dva</w:t>
      </w:r>
      <w:r>
        <w:t xml:space="preserve"> kabelové odpínače a vývod na transformátor). Rozvaděč bude vybaven motorovými pohony 24V DC a kontakty pro stavovou signalizaci.  Nad rozvaděčem bude v celé šířce usazena NN nadstavba</w:t>
      </w:r>
      <w:r w:rsidR="009271BC">
        <w:t xml:space="preserve"> výšky </w:t>
      </w:r>
      <w:r w:rsidR="00820BEA">
        <w:t>9</w:t>
      </w:r>
      <w:r w:rsidR="009271BC">
        <w:t>00 mm</w:t>
      </w:r>
      <w:r>
        <w:t xml:space="preserve">. Nadstavba bude mít uvnitř jeden společný prostor. </w:t>
      </w:r>
      <w:r w:rsidRPr="00CF56E2">
        <w:t>Nadstavba bude z čelní strany rozdělena jednotlivými dvířky</w:t>
      </w:r>
      <w:r w:rsidR="00335A41">
        <w:t xml:space="preserve"> v poměru 2:1</w:t>
      </w:r>
      <w:r w:rsidRPr="00CF56E2">
        <w:t xml:space="preserve">. </w:t>
      </w:r>
      <w:r w:rsidR="00CF56E2" w:rsidRPr="00CF56E2">
        <w:t>V</w:t>
      </w:r>
      <w:r w:rsidRPr="00CF56E2">
        <w:t>šechny dvířka se budou otevírat jedním směrem.</w:t>
      </w:r>
      <w:r w:rsidR="00017DA8">
        <w:t xml:space="preserve"> Nad první a částečně druhým kabelovým odpínačem bude v</w:t>
      </w:r>
      <w:r w:rsidR="007115E2">
        <w:t> </w:t>
      </w:r>
      <w:r w:rsidR="00017DA8">
        <w:t>ho</w:t>
      </w:r>
      <w:r w:rsidR="007115E2">
        <w:t xml:space="preserve">rní části umístěno IED pro sběr </w:t>
      </w:r>
      <w:r w:rsidR="004744C5">
        <w:t xml:space="preserve">dat </w:t>
      </w:r>
      <w:r w:rsidR="00D80D00">
        <w:t>ze signaliza</w:t>
      </w:r>
      <w:r w:rsidR="00940CC0">
        <w:t>cí a měření</w:t>
      </w:r>
      <w:r w:rsidR="00FF5748">
        <w:t>,</w:t>
      </w:r>
      <w:r w:rsidR="00940CC0">
        <w:t xml:space="preserve"> IED bude </w:t>
      </w:r>
      <w:r w:rsidR="00FF5748">
        <w:t xml:space="preserve">i ovládat </w:t>
      </w:r>
      <w:r w:rsidR="00ED2A48">
        <w:t>kabelové odpínače</w:t>
      </w:r>
      <w:r w:rsidR="00B61360">
        <w:t xml:space="preserve">. </w:t>
      </w:r>
      <w:r w:rsidR="00A91571">
        <w:t>Vývod na transformátor bude po</w:t>
      </w:r>
      <w:r w:rsidR="00713075">
        <w:t>uze signalizován stav spínacích prvků a pojistky VN</w:t>
      </w:r>
      <w:r w:rsidR="00432471">
        <w:t>.</w:t>
      </w:r>
    </w:p>
    <w:p w14:paraId="24C45DBD" w14:textId="03238362" w:rsidR="006F3A8A" w:rsidRDefault="006F3A8A">
      <w:pPr>
        <w:rPr>
          <w:i/>
          <w:iCs/>
        </w:rPr>
      </w:pPr>
      <w:r w:rsidRPr="00CA3E3F">
        <w:rPr>
          <w:i/>
          <w:iCs/>
        </w:rPr>
        <w:t xml:space="preserve">Poznámka: Pro připojení </w:t>
      </w:r>
      <w:r w:rsidR="00254A6C" w:rsidRPr="00CA3E3F">
        <w:rPr>
          <w:i/>
          <w:iCs/>
        </w:rPr>
        <w:t xml:space="preserve">kabelu VN </w:t>
      </w:r>
      <w:r w:rsidR="00A112A1" w:rsidRPr="00CA3E3F">
        <w:rPr>
          <w:i/>
          <w:iCs/>
        </w:rPr>
        <w:t xml:space="preserve">pro propojení rozvaděče VN a </w:t>
      </w:r>
      <w:r w:rsidR="00CA3E3F">
        <w:rPr>
          <w:i/>
          <w:iCs/>
        </w:rPr>
        <w:t>t</w:t>
      </w:r>
      <w:r w:rsidR="00A112A1" w:rsidRPr="00CA3E3F">
        <w:rPr>
          <w:i/>
          <w:iCs/>
        </w:rPr>
        <w:t>ransformátoru je nutné použít stíněný úhlový konekt</w:t>
      </w:r>
      <w:r w:rsidR="00531BDE" w:rsidRPr="00CA3E3F">
        <w:rPr>
          <w:i/>
          <w:iCs/>
        </w:rPr>
        <w:t>o</w:t>
      </w:r>
      <w:r w:rsidR="00A112A1" w:rsidRPr="00CA3E3F">
        <w:rPr>
          <w:i/>
          <w:iCs/>
        </w:rPr>
        <w:t>r</w:t>
      </w:r>
      <w:r w:rsidR="00CA3E3F" w:rsidRPr="00CA3E3F">
        <w:rPr>
          <w:i/>
          <w:iCs/>
        </w:rPr>
        <w:t xml:space="preserve"> 250 A</w:t>
      </w:r>
      <w:r w:rsidR="00531BDE" w:rsidRPr="00CA3E3F">
        <w:rPr>
          <w:i/>
          <w:iCs/>
        </w:rPr>
        <w:t xml:space="preserve"> s</w:t>
      </w:r>
      <w:r w:rsidR="00CA3E3F" w:rsidRPr="00CA3E3F">
        <w:rPr>
          <w:i/>
          <w:iCs/>
        </w:rPr>
        <w:t> </w:t>
      </w:r>
      <w:r w:rsidR="00531BDE" w:rsidRPr="00CA3E3F">
        <w:rPr>
          <w:i/>
          <w:iCs/>
        </w:rPr>
        <w:t>kuželem</w:t>
      </w:r>
      <w:r w:rsidR="00CA3E3F" w:rsidRPr="00CA3E3F">
        <w:rPr>
          <w:i/>
          <w:iCs/>
        </w:rPr>
        <w:t xml:space="preserve"> typu</w:t>
      </w:r>
      <w:r w:rsidR="00531BDE" w:rsidRPr="00CA3E3F">
        <w:rPr>
          <w:i/>
          <w:iCs/>
        </w:rPr>
        <w:t xml:space="preserve"> A</w:t>
      </w:r>
      <w:r w:rsidR="00CA3E3F" w:rsidRPr="00CA3E3F">
        <w:rPr>
          <w:i/>
          <w:iCs/>
        </w:rPr>
        <w:t>.</w:t>
      </w:r>
    </w:p>
    <w:p w14:paraId="6A34F312" w14:textId="0CF4E214" w:rsidR="005654CF" w:rsidRDefault="005654CF" w:rsidP="005654CF">
      <w:pPr>
        <w:pStyle w:val="Nadpis2"/>
      </w:pPr>
      <w:r>
        <w:t>Oteplení nadstavby rozvaděče</w:t>
      </w:r>
    </w:p>
    <w:p w14:paraId="07F01832" w14:textId="4BC04C9D" w:rsidR="005654CF" w:rsidRPr="001E699F" w:rsidRDefault="005654CF">
      <w:r>
        <w:t xml:space="preserve">Pro výpočet oteplení byla uvažována nejnepříznivější teplota 35°C, jmenovité zatížení přístrojů se soudobostí většiny přístrojů 1. </w:t>
      </w:r>
      <w:r w:rsidRPr="005654CF">
        <w:t>Za těchto podmínek se výsledná teplota uvnitř rozváděče bude pohybovat okolo 40 °C. Prvkem nejvíce citlivým na teplotu bude nejspíše záložní baterie k UPS. Ta má udanou max. provozní teplotu právě 40 °C</w:t>
      </w:r>
      <w:r>
        <w:t xml:space="preserve">. </w:t>
      </w:r>
      <w:r w:rsidRPr="001E699F">
        <w:t>Nepředpokládá se však, že by někdy k takovému zatížení a následnému oteplení došlo. Ostatní prvky (jistící přístroje, svorky, vodiče atd.) mají nejvyšší provozní teplotu o mnoho vyšší.</w:t>
      </w:r>
    </w:p>
    <w:p w14:paraId="65B74BD6" w14:textId="77777777" w:rsidR="009E0D77" w:rsidRDefault="009E0D77" w:rsidP="009E0D77">
      <w:pPr>
        <w:pStyle w:val="Nadpis2"/>
      </w:pPr>
      <w:r>
        <w:t>Obsah dodávky VN rozvaděče</w:t>
      </w:r>
    </w:p>
    <w:p w14:paraId="43E54F72" w14:textId="17FE4163" w:rsidR="009E0D77" w:rsidRDefault="009E0D77" w:rsidP="009E0D77">
      <w:r>
        <w:t>Obsahem dodávky rozvaděče VN (z CS E.ON) budou vydrátované nadstavby včetně osazení všech NN nadstaveb na silovou část rVN</w:t>
      </w:r>
      <w:r w:rsidR="00332F75">
        <w:t>,</w:t>
      </w:r>
      <w:r>
        <w:t xml:space="preserve"> protažení a zapojení sekundárních kabelů měřících senzorů. Dodávkou rVN není zapojení vnějších spojů a montáž napěťových senzorů do úhlových adaptérů. </w:t>
      </w:r>
    </w:p>
    <w:p w14:paraId="051DDD16" w14:textId="14CBEEE4" w:rsidR="009E0D77" w:rsidRDefault="009E0D77">
      <w:pPr>
        <w:rPr>
          <w:i/>
          <w:iCs/>
        </w:rPr>
      </w:pPr>
      <w:r>
        <w:rPr>
          <w:i/>
          <w:iCs/>
        </w:rPr>
        <w:t xml:space="preserve">Poznámka: </w:t>
      </w:r>
      <w:r w:rsidRPr="00877CC1">
        <w:rPr>
          <w:i/>
          <w:iCs/>
        </w:rPr>
        <w:t>Přesný rozsah</w:t>
      </w:r>
      <w:r>
        <w:rPr>
          <w:i/>
          <w:iCs/>
        </w:rPr>
        <w:t xml:space="preserve"> prací prováděných dodavatelem rozvaděče formou šéfmontáže se může změnit na základě výběrového řízení.</w:t>
      </w:r>
      <w:r w:rsidRPr="00877CC1">
        <w:rPr>
          <w:i/>
          <w:iCs/>
        </w:rPr>
        <w:t xml:space="preserve"> </w:t>
      </w:r>
    </w:p>
    <w:p w14:paraId="752F906A" w14:textId="2B88B235" w:rsidR="000654E2" w:rsidRDefault="000654E2" w:rsidP="000654E2">
      <w:pPr>
        <w:pStyle w:val="Nadpis2"/>
      </w:pPr>
      <w:bookmarkStart w:id="5" w:name="_Toc34282379"/>
      <w:r>
        <w:t>Antén</w:t>
      </w:r>
      <w:r w:rsidR="00AA1014">
        <w:t>y</w:t>
      </w:r>
      <w:r>
        <w:t xml:space="preserve"> LTE</w:t>
      </w:r>
      <w:bookmarkEnd w:id="5"/>
    </w:p>
    <w:p w14:paraId="4596AAA7" w14:textId="66C9964B" w:rsidR="000654E2" w:rsidRDefault="000654E2" w:rsidP="000654E2">
      <w:r>
        <w:t xml:space="preserve">Pro umístění LTE antén budou v rozvaděči připraveny </w:t>
      </w:r>
      <w:r w:rsidR="00AA1014">
        <w:t xml:space="preserve">dva </w:t>
      </w:r>
      <w:r>
        <w:t>otvory pro montáž antén na horní stranu nadstaveb s možností zaslepení membránovou záslepkou. Pro případ že by nebylo možné umístit antény na horní stranu nadstavby budou v pravém horním rohu nadstavby umístěné dvě průchodky PG které budou standardně zaslepené. Pokud by nebylo vhodné umístit antén</w:t>
      </w:r>
      <w:r w:rsidR="00AA1014">
        <w:t>y</w:t>
      </w:r>
      <w:r>
        <w:t xml:space="preserve"> na nadstavbu rozvaděče bud</w:t>
      </w:r>
      <w:r w:rsidR="00AA1014">
        <w:t>ou</w:t>
      </w:r>
      <w:r>
        <w:t xml:space="preserve"> antén</w:t>
      </w:r>
      <w:r w:rsidR="00AA1014">
        <w:t>y</w:t>
      </w:r>
      <w:r>
        <w:t xml:space="preserve"> umístěna na držáku </w:t>
      </w:r>
      <w:r w:rsidR="00AA1014">
        <w:t xml:space="preserve">(pomocné konstrukci) </w:t>
      </w:r>
      <w:r>
        <w:t>na stěně TS</w:t>
      </w:r>
      <w:r w:rsidR="00AA1014">
        <w:t xml:space="preserve">. </w:t>
      </w:r>
    </w:p>
    <w:p w14:paraId="4DEF6436" w14:textId="77777777" w:rsidR="009E0D77" w:rsidRDefault="009E0D77" w:rsidP="009E0D77">
      <w:pPr>
        <w:pStyle w:val="Nadpis2"/>
      </w:pPr>
      <w:r>
        <w:t>Popis specifik použité technologie</w:t>
      </w:r>
    </w:p>
    <w:p w14:paraId="73E43C63" w14:textId="77777777" w:rsidR="009E0D77" w:rsidRDefault="009E0D77" w:rsidP="009E0D77">
      <w:r>
        <w:t>Typová projektová dokumentace obsahuje zařízení standardně se nevyskytující v DS VN bude nutné zpracovat interní (E.ON) pracovní postupy, plány pravidelné údržby a metodiky především pro tyto prvky:</w:t>
      </w:r>
    </w:p>
    <w:p w14:paraId="15ED9AD4" w14:textId="77777777" w:rsidR="009E0D77" w:rsidRDefault="009E0D77" w:rsidP="009E0D77">
      <w:pPr>
        <w:pStyle w:val="Odstavecseseznamem"/>
        <w:numPr>
          <w:ilvl w:val="0"/>
          <w:numId w:val="1"/>
        </w:numPr>
      </w:pPr>
      <w:r>
        <w:t>Senzorová měřící technika především s ohledem na montážní práce a kabelové měřící vozy</w:t>
      </w:r>
    </w:p>
    <w:p w14:paraId="57596A0A" w14:textId="77777777" w:rsidR="009E0D77" w:rsidRDefault="009E0D77" w:rsidP="009E0D77">
      <w:pPr>
        <w:pStyle w:val="Odstavecseseznamem"/>
        <w:numPr>
          <w:ilvl w:val="0"/>
          <w:numId w:val="1"/>
        </w:numPr>
      </w:pPr>
      <w:r>
        <w:t>Vstupování do rozvodny TS (otevření do TS je signalizován na dispečink VN)</w:t>
      </w:r>
    </w:p>
    <w:p w14:paraId="1C45F639" w14:textId="77777777" w:rsidR="009E0D77" w:rsidRDefault="009E0D77" w:rsidP="009E0D77">
      <w:pPr>
        <w:pStyle w:val="Odstavecseseznamem"/>
        <w:numPr>
          <w:ilvl w:val="0"/>
          <w:numId w:val="1"/>
        </w:numPr>
      </w:pPr>
      <w:r>
        <w:lastRenderedPageBreak/>
        <w:t>Vzhledem k technologii používané v rozvaděči VN proškolení pracovníků RS</w:t>
      </w:r>
    </w:p>
    <w:p w14:paraId="08CA24B8" w14:textId="002EDED9" w:rsidR="009E0D77" w:rsidRPr="000654E2" w:rsidRDefault="009E0D77" w:rsidP="000654E2">
      <w:r>
        <w:t xml:space="preserve">Ostatní používaná technologie nebo jí podobná se již používá ve VR případně R110/22kV s rozšířením dálkově manipulovaných a signalizovaných TS bude nutné převzít zvyklosti a pravidla s údržbou a opravami z těchto rozvoden. </w:t>
      </w:r>
    </w:p>
    <w:p w14:paraId="48B35C56" w14:textId="77777777" w:rsidR="002A5252" w:rsidRDefault="002A5252" w:rsidP="000C36B1">
      <w:pPr>
        <w:pStyle w:val="Nadpis1"/>
      </w:pPr>
      <w:bookmarkStart w:id="6" w:name="_Toc34282380"/>
      <w:r>
        <w:t>Technický popis doplněných zařízení rozvaděče NN</w:t>
      </w:r>
      <w:bookmarkEnd w:id="6"/>
    </w:p>
    <w:p w14:paraId="23EA1B39" w14:textId="0D64EFA0" w:rsidR="002A5252" w:rsidRDefault="00E06E31">
      <w:r>
        <w:t xml:space="preserve">Standardní rozvaděč NN typ RST bude upraven na standard RST SMART tj.: upravená nadstavba nad vývodovými odpínači. Do rozvaděče budou doplněny: </w:t>
      </w:r>
      <w:r w:rsidRPr="00EE0FE4">
        <w:t xml:space="preserve">UM včetně zdroje, pojistkový odpínač pro napájení rozvaděče VN. </w:t>
      </w:r>
      <w:r w:rsidR="00EE0FE4">
        <w:t>Při použití Rozvaděče RDD není potřeba žádné úpravy rozvaděč RDD už je v základu vybaven pojistkovým odpínačem pro napájení rozvaděče VN.</w:t>
      </w:r>
    </w:p>
    <w:p w14:paraId="70017B7F" w14:textId="77777777" w:rsidR="002A5252" w:rsidRDefault="002A5252" w:rsidP="000C36B1">
      <w:pPr>
        <w:pStyle w:val="Nadpis1"/>
      </w:pPr>
      <w:bookmarkStart w:id="7" w:name="_Toc34282381"/>
      <w:r>
        <w:t>Specifikace použitých kabelů</w:t>
      </w:r>
      <w:bookmarkEnd w:id="7"/>
    </w:p>
    <w:p w14:paraId="03EBA895" w14:textId="42D4195E" w:rsidR="000C36B1" w:rsidRDefault="003A2B52" w:rsidP="000C36B1">
      <w:r>
        <w:t>Pro napájení se použijí standardně používané kabely CYKY-J 3x2,5.</w:t>
      </w:r>
    </w:p>
    <w:p w14:paraId="5DDDFD0B" w14:textId="53571E45" w:rsidR="00756338" w:rsidRDefault="00756338" w:rsidP="000C36B1">
      <w:r>
        <w:t>Pro signalizaci otevřených dveří se použijí standardně používané kabely CYKY-</w:t>
      </w:r>
      <w:r w:rsidR="0052363A">
        <w:t>O</w:t>
      </w:r>
      <w:r>
        <w:t xml:space="preserve"> </w:t>
      </w:r>
      <w:r w:rsidR="0052363A">
        <w:t>2</w:t>
      </w:r>
      <w:r>
        <w:t>x1,5</w:t>
      </w:r>
    </w:p>
    <w:p w14:paraId="148BE424" w14:textId="77777777" w:rsidR="00A84633" w:rsidRDefault="00A84633" w:rsidP="000C36B1">
      <w:r>
        <w:t>Ostatní použité kabely jsou nedílnou součástí použité technologie např.: senzorová technika, antény atd.</w:t>
      </w:r>
    </w:p>
    <w:p w14:paraId="55BBF971" w14:textId="77777777" w:rsidR="000C36B1" w:rsidRPr="000C36B1" w:rsidRDefault="000C36B1" w:rsidP="000C36B1">
      <w:pPr>
        <w:pStyle w:val="Nadpis1"/>
      </w:pPr>
      <w:bookmarkStart w:id="8" w:name="_Toc34282382"/>
      <w:r>
        <w:t>Doporučený seznam náhradních dílů</w:t>
      </w:r>
      <w:bookmarkEnd w:id="8"/>
    </w:p>
    <w:p w14:paraId="275D3F04" w14:textId="77777777" w:rsidR="002A5252" w:rsidRDefault="00A84633">
      <w:r>
        <w:t xml:space="preserve">Vzhledem k velkému plánovanému rozšíření trafostanic s dálkovým ovládáním, měřením a signalizování na straně VN a NN dojde k rozšíření prvků </w:t>
      </w:r>
      <w:r w:rsidR="00AA6CD3">
        <w:t xml:space="preserve">které nejsou vedeny jako standardní materiál. S větším rozšířením těchto trafostanic roste u pravděpodobnost poruchy na těchto zařízení. Z tohoto důvodu jsou níže uvedena vytipovaná zařízení, které by bylo vhodné zavést v centrálních skladech jako náhradní díly. </w:t>
      </w:r>
    </w:p>
    <w:p w14:paraId="3F47438F" w14:textId="1A461EDD" w:rsidR="00AA6CD3" w:rsidRDefault="00AA6CD3">
      <w:r>
        <w:t>Viz. přiložená tabulka.</w:t>
      </w:r>
    </w:p>
    <w:p w14:paraId="0F1ABB5C" w14:textId="7A641A60" w:rsidR="00CB0B82" w:rsidRDefault="00306CEF" w:rsidP="0029003A">
      <w:pPr>
        <w:pStyle w:val="Nadpis1"/>
      </w:pPr>
      <w:bookmarkStart w:id="9" w:name="_Toc34282383"/>
      <w:r>
        <w:t xml:space="preserve">Důležitá </w:t>
      </w:r>
      <w:r w:rsidR="0029003A">
        <w:t>upozornění</w:t>
      </w:r>
      <w:bookmarkEnd w:id="9"/>
    </w:p>
    <w:p w14:paraId="00A1D468" w14:textId="445EDE8D" w:rsidR="00CB67CD" w:rsidRDefault="002E5330" w:rsidP="002E5330">
      <w:pPr>
        <w:pStyle w:val="Nadpis2"/>
      </w:pPr>
      <w:bookmarkStart w:id="10" w:name="_Toc34282384"/>
      <w:r>
        <w:t>Poznámky</w:t>
      </w:r>
      <w:r w:rsidR="00140BC2">
        <w:t xml:space="preserve"> pro zhotovitele / projektanty</w:t>
      </w:r>
      <w:bookmarkEnd w:id="10"/>
    </w:p>
    <w:p w14:paraId="068CAC61" w14:textId="7A406524" w:rsidR="00140BC2" w:rsidRPr="00140BC2" w:rsidRDefault="00F8276C" w:rsidP="00140BC2">
      <w:r>
        <w:t xml:space="preserve">Tato projektová dokumentace je </w:t>
      </w:r>
      <w:r w:rsidR="00792355">
        <w:t>pouze typová dokumentace</w:t>
      </w:r>
      <w:r w:rsidR="007D1923">
        <w:t>,</w:t>
      </w:r>
      <w:r w:rsidR="00792355">
        <w:t xml:space="preserve"> </w:t>
      </w:r>
      <w:r w:rsidR="00571D04">
        <w:t xml:space="preserve">která nenahrazuje </w:t>
      </w:r>
      <w:r w:rsidR="007D1923">
        <w:t>dokumentaci pro provádění stavby.</w:t>
      </w:r>
    </w:p>
    <w:p w14:paraId="09C159BF" w14:textId="01BD1AF7" w:rsidR="003F4DD3" w:rsidRDefault="003F4DD3" w:rsidP="002E5330">
      <w:pPr>
        <w:pStyle w:val="Nadpis2"/>
      </w:pPr>
      <w:bookmarkStart w:id="11" w:name="_Toc34282385"/>
      <w:r>
        <w:t xml:space="preserve">Seznam </w:t>
      </w:r>
      <w:r w:rsidR="002E5330">
        <w:t>norem</w:t>
      </w:r>
      <w:bookmarkEnd w:id="11"/>
    </w:p>
    <w:p w14:paraId="4EC01546" w14:textId="77777777" w:rsidR="00F8276C" w:rsidRPr="00F8276C" w:rsidRDefault="00F8276C" w:rsidP="00F8276C"/>
    <w:tbl>
      <w:tblPr>
        <w:tblW w:w="9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7089"/>
      </w:tblGrid>
      <w:tr w:rsidR="00CB67CD" w:rsidRPr="00C73776" w14:paraId="40DEEC62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3FC2F3CE" w14:textId="77777777" w:rsidR="00CB67CD" w:rsidRPr="00C73776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55032 ed.2</w:t>
            </w:r>
          </w:p>
        </w:tc>
        <w:tc>
          <w:tcPr>
            <w:tcW w:w="7089" w:type="dxa"/>
            <w:vAlign w:val="center"/>
          </w:tcPr>
          <w:p w14:paraId="350FF962" w14:textId="77777777" w:rsidR="00CB67CD" w:rsidRPr="00C73776" w:rsidRDefault="00CB67CD" w:rsidP="00EA3F98">
            <w:pPr>
              <w:jc w:val="both"/>
              <w:rPr>
                <w:rFonts w:cs="Arial"/>
              </w:rPr>
            </w:pPr>
            <w:r w:rsidRPr="00726A35">
              <w:rPr>
                <w:rFonts w:cs="Arial"/>
                <w:kern w:val="28"/>
              </w:rPr>
              <w:t>Elektromagnetická kompatibilita multimediálních zařízení - Požadavky na emisi</w:t>
            </w:r>
          </w:p>
        </w:tc>
      </w:tr>
      <w:tr w:rsidR="00CB67CD" w:rsidRPr="00C73776" w14:paraId="399BFAF1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431F45E4" w14:textId="77777777" w:rsidR="00CB67CD" w:rsidRPr="00C73776" w:rsidRDefault="00CB67CD" w:rsidP="00EA3F98">
            <w:pPr>
              <w:rPr>
                <w:rFonts w:cs="Arial"/>
              </w:rPr>
            </w:pPr>
            <w:r w:rsidRPr="00C73776">
              <w:rPr>
                <w:rFonts w:cs="Arial"/>
              </w:rPr>
              <w:t>ČSN EN 60255-1</w:t>
            </w:r>
          </w:p>
        </w:tc>
        <w:tc>
          <w:tcPr>
            <w:tcW w:w="7089" w:type="dxa"/>
            <w:vAlign w:val="center"/>
          </w:tcPr>
          <w:p w14:paraId="21C910F3" w14:textId="77777777" w:rsidR="00CB67CD" w:rsidRPr="00C73776" w:rsidRDefault="00CB67CD" w:rsidP="00EA3F98">
            <w:pPr>
              <w:jc w:val="both"/>
              <w:rPr>
                <w:rFonts w:cs="Arial"/>
              </w:rPr>
            </w:pPr>
            <w:r w:rsidRPr="00C73776">
              <w:rPr>
                <w:rFonts w:cs="Arial"/>
              </w:rPr>
              <w:t xml:space="preserve">Měřicí relé a ochranná zařízení – Část 1: Společné požadavky </w:t>
            </w:r>
          </w:p>
        </w:tc>
      </w:tr>
      <w:tr w:rsidR="00CB67CD" w:rsidRPr="00C73776" w14:paraId="0E81CC0F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2FF6C006" w14:textId="77777777" w:rsidR="00CB67CD" w:rsidRPr="00C73776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61000-4-2 ed.2</w:t>
            </w:r>
          </w:p>
        </w:tc>
        <w:tc>
          <w:tcPr>
            <w:tcW w:w="7089" w:type="dxa"/>
            <w:vAlign w:val="center"/>
          </w:tcPr>
          <w:p w14:paraId="2831832B" w14:textId="77777777" w:rsidR="00CB67CD" w:rsidRPr="00C73776" w:rsidRDefault="00CB67CD" w:rsidP="00EA3F98">
            <w:pPr>
              <w:jc w:val="both"/>
              <w:rPr>
                <w:rFonts w:cs="Arial"/>
              </w:rPr>
            </w:pPr>
            <w:r w:rsidRPr="00D76920">
              <w:rPr>
                <w:rFonts w:cs="Arial"/>
              </w:rPr>
              <w:t>Elektromagnetická kompatibilita (EMC) - Část 4-2: Zkušební a měřicí technika - Elektrostatický výboj - Zkouška odolnosti</w:t>
            </w:r>
          </w:p>
        </w:tc>
      </w:tr>
      <w:tr w:rsidR="00CB67CD" w:rsidRPr="00D76920" w14:paraId="6CC32B46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247E2136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61000-4-3 ed.3</w:t>
            </w:r>
          </w:p>
        </w:tc>
        <w:tc>
          <w:tcPr>
            <w:tcW w:w="7089" w:type="dxa"/>
            <w:vAlign w:val="center"/>
          </w:tcPr>
          <w:p w14:paraId="15CCCC38" w14:textId="77777777" w:rsidR="00CB67CD" w:rsidRPr="00D76920" w:rsidRDefault="00CB67CD" w:rsidP="00EA3F98">
            <w:pPr>
              <w:jc w:val="both"/>
              <w:rPr>
                <w:rFonts w:cs="Arial"/>
              </w:rPr>
            </w:pPr>
            <w:r w:rsidRPr="00496C95">
              <w:rPr>
                <w:rFonts w:cs="Arial"/>
              </w:rPr>
              <w:t>Elektromagnetická kompatibilita (EMC) - Část 4-3: Zkušební a měřicí technika - Vyzařované vysokofrekvenční elektromagnetické pole - Zkouška odolnosti</w:t>
            </w:r>
          </w:p>
        </w:tc>
      </w:tr>
      <w:tr w:rsidR="00CB67CD" w:rsidRPr="00496C95" w14:paraId="0C939797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16601FB5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61000-4-4 ed.3</w:t>
            </w:r>
          </w:p>
        </w:tc>
        <w:tc>
          <w:tcPr>
            <w:tcW w:w="7089" w:type="dxa"/>
            <w:vAlign w:val="center"/>
          </w:tcPr>
          <w:p w14:paraId="00AD1F3A" w14:textId="77777777" w:rsidR="00CB67CD" w:rsidRPr="00496C95" w:rsidRDefault="00CB67CD" w:rsidP="00EA3F98">
            <w:pPr>
              <w:jc w:val="both"/>
              <w:rPr>
                <w:rFonts w:cs="Arial"/>
              </w:rPr>
            </w:pPr>
            <w:r w:rsidRPr="00496C95">
              <w:rPr>
                <w:rFonts w:cs="Arial"/>
              </w:rPr>
              <w:t>Elektromagnetická kompatibilita (EMC) - Část 4-4: Zkušební a měřicí technika - Rychlé elektrické přechodné jevy/skupiny impulzů - Zkouška odolnosti</w:t>
            </w:r>
          </w:p>
        </w:tc>
      </w:tr>
      <w:tr w:rsidR="00CB67CD" w:rsidRPr="00496C95" w14:paraId="5B93624B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152B3315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ČSN EN 61000-4-5 ed.3</w:t>
            </w:r>
          </w:p>
        </w:tc>
        <w:tc>
          <w:tcPr>
            <w:tcW w:w="7089" w:type="dxa"/>
            <w:vAlign w:val="center"/>
          </w:tcPr>
          <w:p w14:paraId="35536696" w14:textId="77777777" w:rsidR="00CB67CD" w:rsidRPr="00496C95" w:rsidRDefault="00CB67CD" w:rsidP="00EA3F98">
            <w:pPr>
              <w:jc w:val="both"/>
              <w:rPr>
                <w:rFonts w:cs="Arial"/>
              </w:rPr>
            </w:pPr>
            <w:r w:rsidRPr="00496C95">
              <w:rPr>
                <w:rFonts w:cs="Arial"/>
              </w:rPr>
              <w:t>Elektromagnetická kompatibilita (EMC) - Část 4-5: Zkušební a měřicí technika - Rázový impulz - Zkouška odolnosti</w:t>
            </w:r>
          </w:p>
        </w:tc>
      </w:tr>
      <w:tr w:rsidR="00CB67CD" w:rsidRPr="00496C95" w14:paraId="0B47F73A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402EB89E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61000-4-6 ed.4</w:t>
            </w:r>
          </w:p>
        </w:tc>
        <w:tc>
          <w:tcPr>
            <w:tcW w:w="7089" w:type="dxa"/>
            <w:vAlign w:val="center"/>
          </w:tcPr>
          <w:p w14:paraId="5B6D4DA1" w14:textId="77777777" w:rsidR="00CB67CD" w:rsidRPr="00496C95" w:rsidRDefault="00CB67CD" w:rsidP="00EA3F98">
            <w:pPr>
              <w:jc w:val="both"/>
              <w:rPr>
                <w:rFonts w:cs="Arial"/>
              </w:rPr>
            </w:pPr>
            <w:r w:rsidRPr="00496C95">
              <w:rPr>
                <w:rFonts w:cs="Arial"/>
              </w:rPr>
              <w:t>Elektromagnetická kompatibilita (EMC) - Část 4-6: Zkušební a měřicí technika - Odolnost proti rušením šířeným vedením, indukovaným vysokofrekvenčními poli</w:t>
            </w:r>
          </w:p>
        </w:tc>
      </w:tr>
      <w:tr w:rsidR="00CB67CD" w:rsidRPr="00496C95" w14:paraId="6E6AE6C8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62E42876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61000-4-8 ed.2</w:t>
            </w:r>
          </w:p>
        </w:tc>
        <w:tc>
          <w:tcPr>
            <w:tcW w:w="7089" w:type="dxa"/>
            <w:vAlign w:val="center"/>
          </w:tcPr>
          <w:p w14:paraId="65F12024" w14:textId="77777777" w:rsidR="00CB67CD" w:rsidRPr="00496C95" w:rsidRDefault="00CB67CD" w:rsidP="00EA3F98">
            <w:pPr>
              <w:jc w:val="both"/>
              <w:rPr>
                <w:rFonts w:cs="Arial"/>
              </w:rPr>
            </w:pPr>
            <w:r w:rsidRPr="00496C95">
              <w:rPr>
                <w:rFonts w:cs="Arial"/>
              </w:rPr>
              <w:t>Elektromagnetická kompatibilita (EMC) - Část 4-8: Zkušební a měřicí technika - Magnetické pole síťového kmitočtu - Zkouška odolnosti</w:t>
            </w:r>
          </w:p>
        </w:tc>
      </w:tr>
      <w:tr w:rsidR="00CB67CD" w:rsidRPr="00496C95" w14:paraId="166BF35B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16248177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61000-4-9 ed.2</w:t>
            </w:r>
          </w:p>
        </w:tc>
        <w:tc>
          <w:tcPr>
            <w:tcW w:w="7089" w:type="dxa"/>
            <w:vAlign w:val="center"/>
          </w:tcPr>
          <w:p w14:paraId="118780FC" w14:textId="77777777" w:rsidR="00CB67CD" w:rsidRPr="00496C95" w:rsidRDefault="00CB67CD" w:rsidP="00EA3F98">
            <w:pPr>
              <w:jc w:val="both"/>
              <w:rPr>
                <w:rFonts w:cs="Arial"/>
              </w:rPr>
            </w:pPr>
            <w:r w:rsidRPr="00496C95">
              <w:rPr>
                <w:rFonts w:cs="Arial"/>
              </w:rPr>
              <w:t>Elektromagnetická kompatibilita (EMC) - Část 4-9: Zkušební a měřicí technika - Pulzy magnetického pole - Zkouška odolnosti</w:t>
            </w:r>
          </w:p>
        </w:tc>
      </w:tr>
      <w:tr w:rsidR="00CB67CD" w:rsidRPr="00496C95" w14:paraId="5F9C64C8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46639930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61000-4-10 ed.2</w:t>
            </w:r>
          </w:p>
        </w:tc>
        <w:tc>
          <w:tcPr>
            <w:tcW w:w="7089" w:type="dxa"/>
            <w:vAlign w:val="center"/>
          </w:tcPr>
          <w:p w14:paraId="75F8A9F0" w14:textId="77777777" w:rsidR="00CB67CD" w:rsidRPr="00496C95" w:rsidRDefault="00CB67CD" w:rsidP="00EA3F98">
            <w:pPr>
              <w:jc w:val="both"/>
              <w:rPr>
                <w:rFonts w:cs="Arial"/>
              </w:rPr>
            </w:pPr>
            <w:r w:rsidRPr="00496C95">
              <w:rPr>
                <w:rFonts w:cs="Arial"/>
              </w:rPr>
              <w:t>Elektromagnetická kompatibilita (EMC). Část 4</w:t>
            </w:r>
            <w:r>
              <w:rPr>
                <w:rFonts w:cs="Arial"/>
              </w:rPr>
              <w:t>-10</w:t>
            </w:r>
            <w:r w:rsidRPr="00496C95">
              <w:rPr>
                <w:rFonts w:cs="Arial"/>
              </w:rPr>
              <w:t>: Zkušební a měřicí technika</w:t>
            </w:r>
            <w:r>
              <w:rPr>
                <w:rFonts w:cs="Arial"/>
              </w:rPr>
              <w:t xml:space="preserve"> - </w:t>
            </w:r>
            <w:r w:rsidRPr="00496C95">
              <w:rPr>
                <w:rFonts w:cs="Arial"/>
              </w:rPr>
              <w:t xml:space="preserve">Tlumené kmity magnetického pole - zkouška odolnosti </w:t>
            </w:r>
          </w:p>
        </w:tc>
      </w:tr>
      <w:tr w:rsidR="00CB67CD" w:rsidRPr="00496C95" w14:paraId="127EAA28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0DD32B98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61000-4-11 ed.2</w:t>
            </w:r>
          </w:p>
        </w:tc>
        <w:tc>
          <w:tcPr>
            <w:tcW w:w="7089" w:type="dxa"/>
            <w:vAlign w:val="center"/>
          </w:tcPr>
          <w:p w14:paraId="793C1F03" w14:textId="77777777" w:rsidR="00CB67CD" w:rsidRPr="00496C95" w:rsidRDefault="00CB67CD" w:rsidP="00EA3F98">
            <w:pPr>
              <w:jc w:val="both"/>
              <w:rPr>
                <w:rFonts w:cs="Arial"/>
              </w:rPr>
            </w:pPr>
            <w:r w:rsidRPr="00496C95">
              <w:rPr>
                <w:rFonts w:cs="Arial"/>
              </w:rPr>
              <w:t>Elektromagnetická kompatibilita (EMC) - Část 4-11: Zkušební a měřicí technika - Krátkodobé poklesy napětí, krátká přerušení a pomalé změny napětí - Zkoušky odolnosti</w:t>
            </w:r>
          </w:p>
        </w:tc>
      </w:tr>
      <w:tr w:rsidR="00CB67CD" w:rsidRPr="00496C95" w14:paraId="4CDE0C1B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205281F2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61000-4-12 ed.3</w:t>
            </w:r>
          </w:p>
        </w:tc>
        <w:tc>
          <w:tcPr>
            <w:tcW w:w="7089" w:type="dxa"/>
            <w:vAlign w:val="center"/>
          </w:tcPr>
          <w:p w14:paraId="184FEA59" w14:textId="77777777" w:rsidR="00CB67CD" w:rsidRPr="00496C95" w:rsidRDefault="00CB67CD" w:rsidP="00EA3F98">
            <w:pPr>
              <w:jc w:val="both"/>
              <w:rPr>
                <w:rFonts w:cs="Arial"/>
              </w:rPr>
            </w:pPr>
            <w:r w:rsidRPr="00496C95">
              <w:rPr>
                <w:rFonts w:cs="Arial"/>
              </w:rPr>
              <w:t>Elektromagnetická kompatibilita (EMC) - Část 4-12: Zkušební a měřicí technika - Tlumená sinusová vlna - Zkouška odolnosti</w:t>
            </w:r>
          </w:p>
        </w:tc>
      </w:tr>
      <w:tr w:rsidR="00CB67CD" w:rsidRPr="00496C95" w14:paraId="4C8B6F87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7D83555A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61000-4-16 ed.2</w:t>
            </w:r>
          </w:p>
        </w:tc>
        <w:tc>
          <w:tcPr>
            <w:tcW w:w="7089" w:type="dxa"/>
            <w:vAlign w:val="center"/>
          </w:tcPr>
          <w:p w14:paraId="326E4CF7" w14:textId="77777777" w:rsidR="00CB67CD" w:rsidRPr="00496C95" w:rsidRDefault="00CB67CD" w:rsidP="00EA3F98">
            <w:pPr>
              <w:jc w:val="both"/>
              <w:rPr>
                <w:rFonts w:cs="Arial"/>
              </w:rPr>
            </w:pPr>
            <w:r w:rsidRPr="00B45DA9">
              <w:rPr>
                <w:rFonts w:cs="Arial"/>
              </w:rPr>
              <w:t>Elektromagnetická kompatibilita (EMC) - Část 4-16: Zkušební a měřicí technika - Zkouška odolnosti proti nesymetrickým rušením šířeným vedením v kmitočtovém rozsahu 0 Hz až 150 kHz</w:t>
            </w:r>
          </w:p>
        </w:tc>
      </w:tr>
      <w:tr w:rsidR="00CB67CD" w:rsidRPr="00B45DA9" w14:paraId="1D44B049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1C42790B" w14:textId="77777777" w:rsidR="00CB67CD" w:rsidRPr="00AE2592" w:rsidRDefault="00CB67CD" w:rsidP="00EA3F98">
            <w:pPr>
              <w:rPr>
                <w:rFonts w:cs="Arial"/>
                <w:color w:val="FF0000"/>
              </w:rPr>
            </w:pPr>
            <w:r>
              <w:rPr>
                <w:rFonts w:cs="Arial"/>
              </w:rPr>
              <w:t>ČSN EN 61000-4-18</w:t>
            </w:r>
          </w:p>
        </w:tc>
        <w:tc>
          <w:tcPr>
            <w:tcW w:w="7089" w:type="dxa"/>
            <w:vAlign w:val="center"/>
          </w:tcPr>
          <w:p w14:paraId="3D2A5D29" w14:textId="77777777" w:rsidR="00CB67CD" w:rsidRPr="00B45DA9" w:rsidRDefault="00CB67CD" w:rsidP="00EA3F98">
            <w:pPr>
              <w:jc w:val="both"/>
              <w:rPr>
                <w:rFonts w:cs="Arial"/>
              </w:rPr>
            </w:pPr>
            <w:r w:rsidRPr="00B45DA9">
              <w:rPr>
                <w:rFonts w:cs="Arial"/>
                <w:kern w:val="28"/>
              </w:rPr>
              <w:t>Elektromagnetická kompatibilita (EMC) - Část 4-18: Zkušební a měřicí technika - Tlumená oscilační vlna - Zkouška odolnosti</w:t>
            </w:r>
          </w:p>
        </w:tc>
      </w:tr>
      <w:tr w:rsidR="00CB67CD" w:rsidRPr="00B45DA9" w14:paraId="0C35F2CF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6F2B9172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60950-1 ed.2</w:t>
            </w:r>
          </w:p>
        </w:tc>
        <w:tc>
          <w:tcPr>
            <w:tcW w:w="7089" w:type="dxa"/>
            <w:vAlign w:val="center"/>
          </w:tcPr>
          <w:p w14:paraId="7577B3B4" w14:textId="77777777" w:rsidR="00CB67CD" w:rsidRPr="00B45DA9" w:rsidRDefault="00CB67CD" w:rsidP="00EA3F98">
            <w:pPr>
              <w:jc w:val="both"/>
              <w:rPr>
                <w:rFonts w:cs="Arial"/>
                <w:kern w:val="28"/>
              </w:rPr>
            </w:pPr>
            <w:r w:rsidRPr="006E136E">
              <w:rPr>
                <w:rFonts w:cs="Arial"/>
                <w:kern w:val="28"/>
              </w:rPr>
              <w:t>Zařízení informační technologie - Bezpečnost - Část 1: Všeobecné požadavky</w:t>
            </w:r>
          </w:p>
        </w:tc>
      </w:tr>
      <w:tr w:rsidR="00CB67CD" w:rsidRPr="00726A35" w14:paraId="7066C326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0CB0B0C4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61010-1 ed.2</w:t>
            </w:r>
          </w:p>
        </w:tc>
        <w:tc>
          <w:tcPr>
            <w:tcW w:w="7089" w:type="dxa"/>
            <w:vAlign w:val="center"/>
          </w:tcPr>
          <w:p w14:paraId="717A0034" w14:textId="77777777" w:rsidR="00CB67CD" w:rsidRPr="00726A35" w:rsidRDefault="00CB67CD" w:rsidP="00EA3F98">
            <w:pPr>
              <w:jc w:val="both"/>
              <w:rPr>
                <w:rFonts w:cs="Arial"/>
                <w:kern w:val="28"/>
              </w:rPr>
            </w:pPr>
            <w:r w:rsidRPr="006E136E">
              <w:rPr>
                <w:rFonts w:cs="Arial"/>
                <w:kern w:val="28"/>
              </w:rPr>
              <w:t>Bezpečnostní požadavky na elektrická měřicí, řídicí a laboratorní zařízení - Část 1: Všeobecné požadavky</w:t>
            </w:r>
          </w:p>
        </w:tc>
      </w:tr>
      <w:tr w:rsidR="00CB67CD" w:rsidRPr="006E136E" w14:paraId="6C520756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3159772D" w14:textId="77777777" w:rsidR="00CB67CD" w:rsidRPr="006E136E" w:rsidRDefault="00CB67CD" w:rsidP="00EA3F98">
            <w:pPr>
              <w:rPr>
                <w:rFonts w:cs="Arial"/>
              </w:rPr>
            </w:pPr>
            <w:r w:rsidRPr="006E136E">
              <w:rPr>
                <w:rFonts w:cs="Arial"/>
              </w:rPr>
              <w:t>ČSN EN 60 529</w:t>
            </w:r>
          </w:p>
        </w:tc>
        <w:tc>
          <w:tcPr>
            <w:tcW w:w="7089" w:type="dxa"/>
            <w:vAlign w:val="center"/>
          </w:tcPr>
          <w:p w14:paraId="503DC241" w14:textId="77777777" w:rsidR="00CB67CD" w:rsidRPr="006E136E" w:rsidRDefault="00CB67CD" w:rsidP="00EA3F98">
            <w:pPr>
              <w:tabs>
                <w:tab w:val="left" w:pos="425"/>
              </w:tabs>
              <w:spacing w:after="60"/>
              <w:rPr>
                <w:rFonts w:cs="Arial"/>
              </w:rPr>
            </w:pPr>
            <w:r w:rsidRPr="006E136E">
              <w:rPr>
                <w:rFonts w:cs="Arial"/>
              </w:rPr>
              <w:t>Stupně ochrany krytem (krytí – IP kód)</w:t>
            </w:r>
          </w:p>
        </w:tc>
      </w:tr>
      <w:tr w:rsidR="00CB67CD" w:rsidRPr="006E136E" w14:paraId="26CAC75D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21F05246" w14:textId="77777777" w:rsidR="00CB67CD" w:rsidRPr="006E136E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33 3051</w:t>
            </w:r>
          </w:p>
        </w:tc>
        <w:tc>
          <w:tcPr>
            <w:tcW w:w="7089" w:type="dxa"/>
            <w:vAlign w:val="center"/>
          </w:tcPr>
          <w:p w14:paraId="1B910DCA" w14:textId="77777777" w:rsidR="00CB67CD" w:rsidRPr="006E136E" w:rsidRDefault="00CB67CD" w:rsidP="00EA3F98">
            <w:pPr>
              <w:tabs>
                <w:tab w:val="left" w:pos="425"/>
              </w:tabs>
              <w:spacing w:after="60"/>
              <w:rPr>
                <w:rFonts w:cs="Arial"/>
              </w:rPr>
            </w:pPr>
            <w:r>
              <w:rPr>
                <w:rFonts w:cs="Arial"/>
              </w:rPr>
              <w:t>Ochrany elektrických strojů a rozvodných zařízení</w:t>
            </w:r>
          </w:p>
        </w:tc>
      </w:tr>
      <w:tr w:rsidR="00CB67CD" w14:paraId="0DF87F18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4C4F117A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60044-7</w:t>
            </w:r>
          </w:p>
        </w:tc>
        <w:tc>
          <w:tcPr>
            <w:tcW w:w="7089" w:type="dxa"/>
            <w:vAlign w:val="center"/>
          </w:tcPr>
          <w:p w14:paraId="105E553B" w14:textId="77777777" w:rsidR="00CB67CD" w:rsidRDefault="00CB67CD" w:rsidP="00EA3F98">
            <w:pPr>
              <w:tabs>
                <w:tab w:val="left" w:pos="425"/>
              </w:tabs>
              <w:spacing w:after="60"/>
              <w:rPr>
                <w:rFonts w:cs="Arial"/>
              </w:rPr>
            </w:pPr>
            <w:r w:rsidRPr="00225B37">
              <w:rPr>
                <w:rFonts w:cs="Arial"/>
              </w:rPr>
              <w:t>Přístrojové transformátory - Část 7: Elektronické transformátory napětí</w:t>
            </w:r>
          </w:p>
        </w:tc>
      </w:tr>
      <w:tr w:rsidR="00CB67CD" w14:paraId="59B0930F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11307A36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60044-8</w:t>
            </w:r>
          </w:p>
        </w:tc>
        <w:tc>
          <w:tcPr>
            <w:tcW w:w="7089" w:type="dxa"/>
            <w:vAlign w:val="center"/>
          </w:tcPr>
          <w:p w14:paraId="0BCD2FD4" w14:textId="77777777" w:rsidR="00CB67CD" w:rsidRDefault="00CB67CD" w:rsidP="00EA3F98">
            <w:pPr>
              <w:tabs>
                <w:tab w:val="left" w:pos="425"/>
              </w:tabs>
              <w:spacing w:after="60"/>
              <w:rPr>
                <w:rFonts w:cs="Arial"/>
              </w:rPr>
            </w:pPr>
            <w:r>
              <w:t>Přístrojové transformátory - Část 8: Elektronické transformátory proudu</w:t>
            </w:r>
          </w:p>
        </w:tc>
      </w:tr>
      <w:tr w:rsidR="00CB67CD" w:rsidRPr="00AB14CA" w14:paraId="3190098B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66068562" w14:textId="77777777" w:rsidR="00CB67CD" w:rsidRPr="006E136E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IEC 61869-7</w:t>
            </w:r>
          </w:p>
        </w:tc>
        <w:tc>
          <w:tcPr>
            <w:tcW w:w="7089" w:type="dxa"/>
            <w:vAlign w:val="center"/>
          </w:tcPr>
          <w:p w14:paraId="2337DFC3" w14:textId="77777777" w:rsidR="00CB67CD" w:rsidRPr="00AB14CA" w:rsidRDefault="00CB67CD" w:rsidP="00EA3F98">
            <w:pPr>
              <w:tabs>
                <w:tab w:val="left" w:pos="425"/>
              </w:tabs>
              <w:spacing w:after="60"/>
              <w:rPr>
                <w:rFonts w:cs="Arial"/>
                <w:lang w:val="en-GB"/>
              </w:rPr>
            </w:pPr>
            <w:r w:rsidRPr="00AB14CA">
              <w:rPr>
                <w:rFonts w:cs="Arial"/>
                <w:lang w:val="en-GB"/>
              </w:rPr>
              <w:t>Additional requirements for electronic voltage transformers</w:t>
            </w:r>
          </w:p>
        </w:tc>
      </w:tr>
      <w:tr w:rsidR="00CB67CD" w:rsidRPr="00AB14CA" w14:paraId="4F0CD73A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7DCADAD5" w14:textId="77777777" w:rsidR="00CB67CD" w:rsidRPr="006E136E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IEC 61869-8</w:t>
            </w:r>
          </w:p>
        </w:tc>
        <w:tc>
          <w:tcPr>
            <w:tcW w:w="7089" w:type="dxa"/>
            <w:vAlign w:val="center"/>
          </w:tcPr>
          <w:p w14:paraId="6A3A0634" w14:textId="77777777" w:rsidR="00CB67CD" w:rsidRPr="00AB14CA" w:rsidRDefault="00CB67CD" w:rsidP="00EA3F98">
            <w:pPr>
              <w:tabs>
                <w:tab w:val="left" w:pos="425"/>
              </w:tabs>
              <w:spacing w:after="60"/>
              <w:rPr>
                <w:rFonts w:cs="Arial"/>
                <w:lang w:val="en-GB"/>
              </w:rPr>
            </w:pPr>
            <w:r w:rsidRPr="00AB14CA">
              <w:rPr>
                <w:rFonts w:cs="Arial"/>
                <w:lang w:val="en-GB"/>
              </w:rPr>
              <w:t>Additional requirements for electronic current transformers</w:t>
            </w:r>
          </w:p>
        </w:tc>
      </w:tr>
      <w:tr w:rsidR="00CB67CD" w:rsidRPr="00A91568" w14:paraId="20133D6C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3AA999D9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ISO 12944-5</w:t>
            </w:r>
          </w:p>
        </w:tc>
        <w:tc>
          <w:tcPr>
            <w:tcW w:w="7089" w:type="dxa"/>
            <w:vAlign w:val="center"/>
          </w:tcPr>
          <w:p w14:paraId="177FE224" w14:textId="77777777" w:rsidR="00CB67CD" w:rsidRPr="00A91568" w:rsidRDefault="00CB67CD" w:rsidP="00EA3F98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Nátěrové hmoty – Protikorozní ochrana ocelových konstrukcí ochrannými nátěrovými systémy – Část 5: Ochranné nátěrové systémy</w:t>
            </w:r>
          </w:p>
        </w:tc>
      </w:tr>
      <w:tr w:rsidR="00CB67CD" w:rsidRPr="00A91568" w14:paraId="274F95C7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1D281082" w14:textId="77777777" w:rsidR="00CB67CD" w:rsidRPr="00F54D61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ISO 3864</w:t>
            </w:r>
          </w:p>
        </w:tc>
        <w:tc>
          <w:tcPr>
            <w:tcW w:w="7089" w:type="dxa"/>
            <w:vAlign w:val="center"/>
          </w:tcPr>
          <w:p w14:paraId="250E0E84" w14:textId="77777777" w:rsidR="00CB67CD" w:rsidRPr="00A91568" w:rsidRDefault="00CB67CD" w:rsidP="00EA3F98">
            <w:pPr>
              <w:rPr>
                <w:rFonts w:cs="Arial"/>
              </w:rPr>
            </w:pPr>
            <w:r>
              <w:rPr>
                <w:rFonts w:cs="Arial"/>
                <w:bCs/>
              </w:rPr>
              <w:t xml:space="preserve">Soubor norem </w:t>
            </w:r>
            <w:r w:rsidRPr="00A91568">
              <w:rPr>
                <w:rFonts w:cs="Arial"/>
                <w:bCs/>
              </w:rPr>
              <w:t>Bezpečnostní barvy a bezpečnostní značky</w:t>
            </w:r>
          </w:p>
        </w:tc>
      </w:tr>
      <w:tr w:rsidR="00CB67CD" w14:paraId="094D2E83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3331B322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ČSN EN 61439-1 ed.2</w:t>
            </w:r>
          </w:p>
        </w:tc>
        <w:tc>
          <w:tcPr>
            <w:tcW w:w="7089" w:type="dxa"/>
            <w:vAlign w:val="center"/>
          </w:tcPr>
          <w:p w14:paraId="14B1EFE7" w14:textId="77777777" w:rsidR="00CB67CD" w:rsidRDefault="00CB67CD" w:rsidP="00EA3F98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Rozváděče nízkého napětí – Část 1: Všeobecná ustanovení</w:t>
            </w:r>
          </w:p>
        </w:tc>
      </w:tr>
      <w:tr w:rsidR="00CB67CD" w:rsidRPr="00AB6E36" w14:paraId="419B24F2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70FE16E7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PNE 33 0000-2 </w:t>
            </w:r>
          </w:p>
        </w:tc>
        <w:tc>
          <w:tcPr>
            <w:tcW w:w="7089" w:type="dxa"/>
            <w:vAlign w:val="center"/>
          </w:tcPr>
          <w:p w14:paraId="5EC1886A" w14:textId="77777777" w:rsidR="00CB67CD" w:rsidRPr="00AB6E36" w:rsidRDefault="00CB67CD" w:rsidP="00EA3F98">
            <w:pPr>
              <w:rPr>
                <w:rFonts w:cs="Arial"/>
              </w:rPr>
            </w:pPr>
            <w:r w:rsidRPr="009C4405">
              <w:rPr>
                <w:rFonts w:cs="Arial"/>
              </w:rPr>
              <w:t>Stanovení základních charakteristik vnějších vlivů působících na rozvodná zařízení distribuční a přenosové soustavy</w:t>
            </w:r>
          </w:p>
        </w:tc>
      </w:tr>
      <w:tr w:rsidR="00CB67CD" w:rsidRPr="009C4405" w14:paraId="0E57FB0A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77E53AF7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PNE 18 4310 ed.4</w:t>
            </w:r>
          </w:p>
        </w:tc>
        <w:tc>
          <w:tcPr>
            <w:tcW w:w="7089" w:type="dxa"/>
            <w:vAlign w:val="center"/>
          </w:tcPr>
          <w:p w14:paraId="30141AE1" w14:textId="77777777" w:rsidR="00CB67CD" w:rsidRPr="009C4405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Standardizované informační soubory dispečerských řídicích systémů</w:t>
            </w:r>
          </w:p>
        </w:tc>
      </w:tr>
      <w:tr w:rsidR="00CB67CD" w:rsidRPr="009C4405" w14:paraId="4BB13660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6046652E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PNE 18 4311</w:t>
            </w:r>
          </w:p>
        </w:tc>
        <w:tc>
          <w:tcPr>
            <w:tcW w:w="7089" w:type="dxa"/>
            <w:vAlign w:val="center"/>
          </w:tcPr>
          <w:p w14:paraId="07A4788C" w14:textId="77777777" w:rsidR="00CB67CD" w:rsidRPr="009C4405" w:rsidRDefault="00CB67CD" w:rsidP="00EA3F98">
            <w:pPr>
              <w:rPr>
                <w:rFonts w:cs="Arial"/>
              </w:rPr>
            </w:pPr>
            <w:r w:rsidRPr="00FB6ACD">
              <w:rPr>
                <w:rFonts w:cs="Arial"/>
              </w:rPr>
              <w:t>Zásady jednotného grafického, písmenného a barevného kódování elektrických prvků a zařízení REAS</w:t>
            </w:r>
          </w:p>
        </w:tc>
      </w:tr>
      <w:tr w:rsidR="00CB67CD" w:rsidRPr="00FB6ACD" w14:paraId="11FA1018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687FDE75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PNE 38 4065</w:t>
            </w:r>
          </w:p>
        </w:tc>
        <w:tc>
          <w:tcPr>
            <w:tcW w:w="7089" w:type="dxa"/>
            <w:vAlign w:val="center"/>
          </w:tcPr>
          <w:p w14:paraId="0C8629B1" w14:textId="77777777" w:rsidR="00CB67CD" w:rsidRPr="00FB6A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Provoz, navrhování a zkoušení ochran a automatik</w:t>
            </w:r>
          </w:p>
        </w:tc>
      </w:tr>
      <w:tr w:rsidR="00CB67CD" w14:paraId="43B2E5BF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41482350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TNS 30 0010</w:t>
            </w:r>
          </w:p>
        </w:tc>
        <w:tc>
          <w:tcPr>
            <w:tcW w:w="7089" w:type="dxa"/>
            <w:vAlign w:val="center"/>
          </w:tcPr>
          <w:p w14:paraId="077F8F8E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Jednotné značení zařízení primární techniky Správy OR</w:t>
            </w:r>
          </w:p>
        </w:tc>
      </w:tr>
      <w:tr w:rsidR="00CB67CD" w:rsidRPr="009C4405" w14:paraId="7BC19B67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41249BD7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TNS 30 0020</w:t>
            </w:r>
          </w:p>
        </w:tc>
        <w:tc>
          <w:tcPr>
            <w:tcW w:w="7089" w:type="dxa"/>
            <w:vAlign w:val="center"/>
          </w:tcPr>
          <w:p w14:paraId="347B5D93" w14:textId="77777777" w:rsidR="00CB67CD" w:rsidRPr="009C4405" w:rsidRDefault="00CB67CD" w:rsidP="00EA3F98">
            <w:pPr>
              <w:rPr>
                <w:rFonts w:cs="Arial"/>
              </w:rPr>
            </w:pPr>
            <w:r w:rsidRPr="008854E9">
              <w:rPr>
                <w:rFonts w:cs="Arial"/>
              </w:rPr>
              <w:t>Jednotné značení zařízení sekundární techniky</w:t>
            </w:r>
          </w:p>
        </w:tc>
      </w:tr>
      <w:tr w:rsidR="00CB67CD" w:rsidRPr="008854E9" w14:paraId="3A09F6AA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4D73B7CD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TNS 30 7010</w:t>
            </w:r>
          </w:p>
        </w:tc>
        <w:tc>
          <w:tcPr>
            <w:tcW w:w="7089" w:type="dxa"/>
            <w:vAlign w:val="center"/>
          </w:tcPr>
          <w:p w14:paraId="6B5F1733" w14:textId="77777777" w:rsidR="00CB67CD" w:rsidRPr="008854E9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Rozváděče sekundární techniky</w:t>
            </w:r>
          </w:p>
        </w:tc>
      </w:tr>
      <w:tr w:rsidR="00CB67CD" w14:paraId="20C53D80" w14:textId="77777777" w:rsidTr="00EA3F98">
        <w:trPr>
          <w:trHeight w:val="375"/>
          <w:jc w:val="center"/>
        </w:trPr>
        <w:tc>
          <w:tcPr>
            <w:tcW w:w="2830" w:type="dxa"/>
            <w:vAlign w:val="center"/>
          </w:tcPr>
          <w:p w14:paraId="2B48AA68" w14:textId="084CDE15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ECZR-PP-DS-</w:t>
            </w:r>
            <w:r w:rsidR="00932777">
              <w:rPr>
                <w:rFonts w:cs="Arial"/>
              </w:rPr>
              <w:t>266</w:t>
            </w:r>
          </w:p>
        </w:tc>
        <w:tc>
          <w:tcPr>
            <w:tcW w:w="7089" w:type="dxa"/>
            <w:vAlign w:val="center"/>
          </w:tcPr>
          <w:p w14:paraId="1DBE18AC" w14:textId="77777777" w:rsidR="00CB67CD" w:rsidRDefault="00CB67CD" w:rsidP="00EA3F98">
            <w:pPr>
              <w:rPr>
                <w:rFonts w:cs="Arial"/>
              </w:rPr>
            </w:pPr>
            <w:r>
              <w:rPr>
                <w:rFonts w:cs="Arial"/>
              </w:rPr>
              <w:t>Správa dokumentace sekundární technologie elektrických stanic s využitím systému CAD/CAE</w:t>
            </w:r>
          </w:p>
        </w:tc>
      </w:tr>
    </w:tbl>
    <w:p w14:paraId="2CE09BBA" w14:textId="63E9717E" w:rsidR="00CB67CD" w:rsidRDefault="00CB67CD"/>
    <w:p w14:paraId="162AB27B" w14:textId="2CD93F17" w:rsidR="002476F3" w:rsidRPr="002476F3" w:rsidRDefault="00BA6376" w:rsidP="002476F3">
      <w:r>
        <w:t xml:space="preserve">   </w:t>
      </w:r>
    </w:p>
    <w:p w14:paraId="113BF926" w14:textId="77777777" w:rsidR="002476F3" w:rsidRDefault="002476F3"/>
    <w:p w14:paraId="2BF7AD40" w14:textId="57E0063F" w:rsidR="002A5252" w:rsidRDefault="003B2DC1">
      <w:r>
        <w:t xml:space="preserve">V Brně </w:t>
      </w:r>
      <w:r w:rsidR="00335A41">
        <w:fldChar w:fldCharType="begin"/>
      </w:r>
      <w:r w:rsidR="00335A41">
        <w:instrText xml:space="preserve"> TIME \@ "d. M. yyyy" </w:instrText>
      </w:r>
      <w:r w:rsidR="00335A41">
        <w:fldChar w:fldCharType="separate"/>
      </w:r>
      <w:r w:rsidR="0052363A">
        <w:rPr>
          <w:noProof/>
        </w:rPr>
        <w:t>7. 4. 2021</w:t>
      </w:r>
      <w:r w:rsidR="00335A41">
        <w:fldChar w:fldCharType="end"/>
      </w:r>
      <w:r w:rsidR="00525E4B">
        <w:tab/>
      </w:r>
      <w:r w:rsidR="00525E4B">
        <w:tab/>
      </w:r>
      <w:r w:rsidR="00525E4B">
        <w:tab/>
      </w:r>
      <w:r w:rsidR="00525E4B">
        <w:tab/>
      </w:r>
      <w:r w:rsidR="00525E4B">
        <w:tab/>
      </w:r>
      <w:r w:rsidR="00525E4B">
        <w:tab/>
      </w:r>
      <w:r w:rsidR="006C2399">
        <w:tab/>
      </w:r>
      <w:r w:rsidR="00001F50">
        <w:t xml:space="preserve">Jan </w:t>
      </w:r>
      <w:r w:rsidR="00525E4B">
        <w:t>Hochmann</w:t>
      </w:r>
    </w:p>
    <w:p w14:paraId="00E36D38" w14:textId="58E0BC80" w:rsidR="006C2399" w:rsidRDefault="006C23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Puttner, s.r.o.</w:t>
      </w:r>
    </w:p>
    <w:p w14:paraId="07954CAB" w14:textId="200652F0" w:rsidR="00001F50" w:rsidRDefault="00001F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01F50" w:rsidSect="00FF6033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BB491" w14:textId="77777777" w:rsidR="000D435C" w:rsidRDefault="000D435C" w:rsidP="000D435C">
      <w:pPr>
        <w:spacing w:after="0" w:line="240" w:lineRule="auto"/>
      </w:pPr>
      <w:r>
        <w:separator/>
      </w:r>
    </w:p>
  </w:endnote>
  <w:endnote w:type="continuationSeparator" w:id="0">
    <w:p w14:paraId="5E6E4F3A" w14:textId="77777777" w:rsidR="000D435C" w:rsidRDefault="000D435C" w:rsidP="000D4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68448097"/>
      <w:docPartObj>
        <w:docPartGallery w:val="Page Numbers (Bottom of Page)"/>
        <w:docPartUnique/>
      </w:docPartObj>
    </w:sdtPr>
    <w:sdtEndPr/>
    <w:sdtContent>
      <w:p w14:paraId="27601A9E" w14:textId="24AFC5FE" w:rsidR="00FF6033" w:rsidRDefault="00FF603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89C268" w14:textId="77777777" w:rsidR="00FF6033" w:rsidRDefault="00FF60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949FF" w14:textId="77777777" w:rsidR="000D435C" w:rsidRDefault="000D435C" w:rsidP="000D435C">
      <w:pPr>
        <w:spacing w:after="0" w:line="240" w:lineRule="auto"/>
      </w:pPr>
      <w:r>
        <w:separator/>
      </w:r>
    </w:p>
  </w:footnote>
  <w:footnote w:type="continuationSeparator" w:id="0">
    <w:p w14:paraId="3E542EDB" w14:textId="77777777" w:rsidR="000D435C" w:rsidRDefault="000D435C" w:rsidP="000D4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56F8C" w14:textId="005F7D2C" w:rsidR="000D435C" w:rsidRDefault="00A51606">
    <w:pPr>
      <w:pStyle w:val="Zhlav"/>
    </w:pPr>
    <w:r>
      <w:t>=</w:t>
    </w:r>
    <w:r w:rsidR="000D435C">
      <w:t>AJA00</w:t>
    </w:r>
    <w:r w:rsidR="005652CC">
      <w:t>&amp;EDD</w:t>
    </w:r>
    <w:r w:rsidR="000D435C">
      <w:ptab w:relativeTo="margin" w:alignment="center" w:leader="none"/>
    </w:r>
    <w:r w:rsidR="000D435C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F73931"/>
    <w:multiLevelType w:val="hybridMultilevel"/>
    <w:tmpl w:val="7BA61DA2"/>
    <w:lvl w:ilvl="0" w:tplc="D08C44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252"/>
    <w:rsid w:val="00001F50"/>
    <w:rsid w:val="00017DA8"/>
    <w:rsid w:val="000654E2"/>
    <w:rsid w:val="000851F8"/>
    <w:rsid w:val="000C36B1"/>
    <w:rsid w:val="000D435C"/>
    <w:rsid w:val="00140BC2"/>
    <w:rsid w:val="001C32B9"/>
    <w:rsid w:val="001D258D"/>
    <w:rsid w:val="001D3551"/>
    <w:rsid w:val="001E699F"/>
    <w:rsid w:val="002476F3"/>
    <w:rsid w:val="00254A6C"/>
    <w:rsid w:val="0029003A"/>
    <w:rsid w:val="002A5252"/>
    <w:rsid w:val="002D0041"/>
    <w:rsid w:val="002E5330"/>
    <w:rsid w:val="00306CEF"/>
    <w:rsid w:val="00332F75"/>
    <w:rsid w:val="00335A41"/>
    <w:rsid w:val="00345BEF"/>
    <w:rsid w:val="00357B73"/>
    <w:rsid w:val="00397AC8"/>
    <w:rsid w:val="003A2B52"/>
    <w:rsid w:val="003B2DC1"/>
    <w:rsid w:val="003C373C"/>
    <w:rsid w:val="003F4DD3"/>
    <w:rsid w:val="00432471"/>
    <w:rsid w:val="00472285"/>
    <w:rsid w:val="004744C5"/>
    <w:rsid w:val="004746A0"/>
    <w:rsid w:val="0052363A"/>
    <w:rsid w:val="00525E4B"/>
    <w:rsid w:val="00531BDE"/>
    <w:rsid w:val="00552998"/>
    <w:rsid w:val="005652CC"/>
    <w:rsid w:val="005654CF"/>
    <w:rsid w:val="00571D04"/>
    <w:rsid w:val="005C260D"/>
    <w:rsid w:val="005C3ADB"/>
    <w:rsid w:val="0062018D"/>
    <w:rsid w:val="006C2399"/>
    <w:rsid w:val="006C382D"/>
    <w:rsid w:val="006E34DD"/>
    <w:rsid w:val="006F3A8A"/>
    <w:rsid w:val="00706236"/>
    <w:rsid w:val="00706F8F"/>
    <w:rsid w:val="007115E2"/>
    <w:rsid w:val="00713075"/>
    <w:rsid w:val="00743B02"/>
    <w:rsid w:val="00756338"/>
    <w:rsid w:val="00792355"/>
    <w:rsid w:val="007D1923"/>
    <w:rsid w:val="007D74B4"/>
    <w:rsid w:val="007E6DB9"/>
    <w:rsid w:val="00820BEA"/>
    <w:rsid w:val="008943C7"/>
    <w:rsid w:val="008A5C05"/>
    <w:rsid w:val="009271BC"/>
    <w:rsid w:val="00932777"/>
    <w:rsid w:val="00940CC0"/>
    <w:rsid w:val="009D545B"/>
    <w:rsid w:val="009E0D77"/>
    <w:rsid w:val="00A112A1"/>
    <w:rsid w:val="00A51606"/>
    <w:rsid w:val="00A84633"/>
    <w:rsid w:val="00A91571"/>
    <w:rsid w:val="00AA1014"/>
    <w:rsid w:val="00AA6CD3"/>
    <w:rsid w:val="00B54FF6"/>
    <w:rsid w:val="00B61360"/>
    <w:rsid w:val="00B82398"/>
    <w:rsid w:val="00BA6376"/>
    <w:rsid w:val="00BC7B24"/>
    <w:rsid w:val="00C11FE2"/>
    <w:rsid w:val="00C433EF"/>
    <w:rsid w:val="00C57E9A"/>
    <w:rsid w:val="00CA3E3F"/>
    <w:rsid w:val="00CB0B82"/>
    <w:rsid w:val="00CB0E7A"/>
    <w:rsid w:val="00CB67CD"/>
    <w:rsid w:val="00CF56E2"/>
    <w:rsid w:val="00D16115"/>
    <w:rsid w:val="00D3196A"/>
    <w:rsid w:val="00D80110"/>
    <w:rsid w:val="00D80D00"/>
    <w:rsid w:val="00E06E31"/>
    <w:rsid w:val="00ED2A48"/>
    <w:rsid w:val="00EE0FE4"/>
    <w:rsid w:val="00F242A4"/>
    <w:rsid w:val="00F66CF5"/>
    <w:rsid w:val="00F8276C"/>
    <w:rsid w:val="00FE1811"/>
    <w:rsid w:val="00FF5748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066F94"/>
  <w15:chartTrackingRefBased/>
  <w15:docId w15:val="{AE7C4B95-158C-459C-83F6-AE0BA699F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C36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53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36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mezer">
    <w:name w:val="No Spacing"/>
    <w:link w:val="BezmezerChar"/>
    <w:uiPriority w:val="1"/>
    <w:qFormat/>
    <w:rsid w:val="0029003A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29003A"/>
    <w:rPr>
      <w:rFonts w:eastAsiaTheme="minorEastAsia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746A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746A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4746A0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3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1D3551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0D4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435C"/>
  </w:style>
  <w:style w:type="paragraph" w:styleId="Zpat">
    <w:name w:val="footer"/>
    <w:basedOn w:val="Normln"/>
    <w:link w:val="ZpatChar"/>
    <w:uiPriority w:val="99"/>
    <w:unhideWhenUsed/>
    <w:rsid w:val="000D4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435C"/>
  </w:style>
  <w:style w:type="paragraph" w:styleId="Textbubliny">
    <w:name w:val="Balloon Text"/>
    <w:basedOn w:val="Normln"/>
    <w:link w:val="TextbublinyChar"/>
    <w:uiPriority w:val="99"/>
    <w:semiHidden/>
    <w:unhideWhenUsed/>
    <w:rsid w:val="00B54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FF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E0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0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31EF5042FE4F4EA3EE82B4204114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A6753F-61D1-44BB-8C37-81E21A95C446}"/>
      </w:docPartPr>
      <w:docPartBody>
        <w:p w:rsidR="001E599A" w:rsidRDefault="00207CF5" w:rsidP="00207CF5">
          <w:pPr>
            <w:pStyle w:val="0F31EF5042FE4F4EA3EE82B42041149E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[Název dokumentu]</w:t>
          </w:r>
        </w:p>
      </w:docPartBody>
    </w:docPart>
    <w:docPart>
      <w:docPartPr>
        <w:name w:val="231873010E80440FB6BB248AA7387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4294A1-5CFE-4BB3-A806-71E465F346B2}"/>
      </w:docPartPr>
      <w:docPartBody>
        <w:p w:rsidR="001E599A" w:rsidRDefault="00207CF5" w:rsidP="00207CF5">
          <w:pPr>
            <w:pStyle w:val="231873010E80440FB6BB248AA7387A3A"/>
          </w:pPr>
          <w:r>
            <w:rPr>
              <w:color w:val="4472C4" w:themeColor="accent1"/>
              <w:sz w:val="28"/>
              <w:szCs w:val="28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CF5"/>
    <w:rsid w:val="001E599A"/>
    <w:rsid w:val="00207CF5"/>
    <w:rsid w:val="00A9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F31EF5042FE4F4EA3EE82B42041149E">
    <w:name w:val="0F31EF5042FE4F4EA3EE82B42041149E"/>
    <w:rsid w:val="00207CF5"/>
  </w:style>
  <w:style w:type="paragraph" w:customStyle="1" w:styleId="231873010E80440FB6BB248AA7387A3A">
    <w:name w:val="231873010E80440FB6BB248AA7387A3A"/>
    <w:rsid w:val="00207C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2021-04-07T00:00:00</PublishDate>
  <Abstract/>
  <CompanyAddress>Šumavská 416/15, 602 00 Brno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9E13DA-ACF5-4490-938C-DBFF86BB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5018</TotalTime>
  <Pages>7</Pages>
  <Words>1626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technický popis</vt:lpstr>
    </vt:vector>
  </TitlesOfParts>
  <Company>Puttner, s.r.o.</Company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technický popis</dc:title>
  <dc:subject>Typová projektová dokumentace rozvaděče VN</dc:subject>
  <dc:creator>Jan Hochmann</dc:creator>
  <cp:keywords/>
  <dc:description/>
  <cp:lastModifiedBy>Jan Hochmann</cp:lastModifiedBy>
  <cp:revision>21</cp:revision>
  <dcterms:created xsi:type="dcterms:W3CDTF">2020-01-13T10:43:00Z</dcterms:created>
  <dcterms:modified xsi:type="dcterms:W3CDTF">2021-04-07T06:10:00Z</dcterms:modified>
</cp:coreProperties>
</file>